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6E78" w14:textId="77777777" w:rsidR="008B51E1" w:rsidRDefault="008B51E1">
      <w:pPr>
        <w:jc w:val="right"/>
        <w:rPr>
          <w:rFonts w:ascii="Arial" w:eastAsia="Arial" w:hAnsi="Arial" w:cs="Arial"/>
          <w:sz w:val="22"/>
          <w:szCs w:val="22"/>
        </w:rPr>
      </w:pPr>
    </w:p>
    <w:p w14:paraId="5BCDCC42" w14:textId="77777777" w:rsidR="008B51E1" w:rsidRDefault="00000000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AGENDA</w:t>
      </w:r>
    </w:p>
    <w:p w14:paraId="0121DD14" w14:textId="77777777" w:rsidR="008B51E1" w:rsidRDefault="008B51E1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C1F4D28" w14:textId="76876E0D" w:rsidR="008B51E1" w:rsidRDefault="009D5FFE">
      <w:pPr>
        <w:tabs>
          <w:tab w:val="right" w:pos="936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Draft Rules to Implement House Bill 22-1118</w:t>
      </w:r>
    </w:p>
    <w:p w14:paraId="27DFA5F3" w14:textId="77777777" w:rsidR="008B51E1" w:rsidRDefault="008B51E1">
      <w:pPr>
        <w:rPr>
          <w:rFonts w:ascii="Arial" w:eastAsia="Arial" w:hAnsi="Arial" w:cs="Arial"/>
          <w:sz w:val="22"/>
          <w:szCs w:val="22"/>
        </w:rPr>
      </w:pPr>
    </w:p>
    <w:p w14:paraId="49EE3621" w14:textId="77777777" w:rsidR="008B51E1" w:rsidRDefault="008B51E1">
      <w:pPr>
        <w:rPr>
          <w:rFonts w:ascii="Arial" w:eastAsia="Arial" w:hAnsi="Arial" w:cs="Arial"/>
          <w:sz w:val="22"/>
          <w:szCs w:val="22"/>
        </w:rPr>
      </w:pPr>
    </w:p>
    <w:p w14:paraId="529F5FD3" w14:textId="08CFF188" w:rsidR="008B51E1" w:rsidRDefault="009D5FFE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August 15, 2023, at 10:00 a.m.</w:t>
      </w:r>
      <w:r>
        <w:rPr>
          <w:rFonts w:ascii="Arial" w:eastAsia="Arial" w:hAnsi="Arial" w:cs="Arial"/>
          <w:sz w:val="22"/>
          <w:szCs w:val="22"/>
        </w:rPr>
        <w:tab/>
        <w:t xml:space="preserve">Colorado Department of Revenue   </w:t>
      </w:r>
    </w:p>
    <w:p w14:paraId="472BFCEA" w14:textId="77777777" w:rsidR="008B51E1" w:rsidRDefault="00000000">
      <w:pPr>
        <w:tabs>
          <w:tab w:val="right" w:pos="936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1881 Pierce Street</w:t>
      </w:r>
    </w:p>
    <w:p w14:paraId="7D927FFC" w14:textId="77777777" w:rsidR="008B51E1" w:rsidRDefault="00000000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Call-in number: </w:t>
      </w:r>
      <w:r>
        <w:rPr>
          <w:rFonts w:ascii="Arial" w:eastAsia="Arial" w:hAnsi="Arial" w:cs="Arial"/>
          <w:b/>
          <w:color w:val="222222"/>
          <w:sz w:val="21"/>
          <w:szCs w:val="21"/>
        </w:rPr>
        <w:t>1 (669) 900-6833</w:t>
      </w:r>
      <w:r>
        <w:rPr>
          <w:rFonts w:ascii="Arial" w:eastAsia="Arial" w:hAnsi="Arial" w:cs="Arial"/>
          <w:sz w:val="22"/>
          <w:szCs w:val="22"/>
        </w:rPr>
        <w:tab/>
        <w:t xml:space="preserve">    Entrance B, Room 110</w:t>
      </w:r>
    </w:p>
    <w:p w14:paraId="7844E4B9" w14:textId="1FE13BD6" w:rsidR="008B51E1" w:rsidRDefault="00000000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‬Meeting ID:  </w:t>
      </w:r>
      <w:r w:rsidR="00A85275" w:rsidRPr="00A85275">
        <w:rPr>
          <w:rFonts w:ascii="Arial" w:eastAsia="Arial" w:hAnsi="Arial" w:cs="Arial"/>
          <w:b/>
          <w:color w:val="222222"/>
          <w:sz w:val="21"/>
          <w:szCs w:val="21"/>
        </w:rPr>
        <w:t>858 4333 6385</w:t>
      </w:r>
      <w:r>
        <w:rPr>
          <w:rFonts w:ascii="Arial" w:eastAsia="Arial" w:hAnsi="Arial" w:cs="Arial"/>
          <w:sz w:val="22"/>
          <w:szCs w:val="22"/>
        </w:rPr>
        <w:tab/>
        <w:t>Lakewood, CO 80214</w:t>
      </w:r>
    </w:p>
    <w:p w14:paraId="060788EB" w14:textId="77777777" w:rsidR="008B51E1" w:rsidRDefault="008B51E1">
      <w:pPr>
        <w:rPr>
          <w:rFonts w:ascii="Arial" w:eastAsia="Arial" w:hAnsi="Arial" w:cs="Arial"/>
          <w:sz w:val="22"/>
          <w:szCs w:val="22"/>
        </w:rPr>
      </w:pPr>
    </w:p>
    <w:p w14:paraId="6A1C4EA6" w14:textId="28B829B0" w:rsidR="008B51E1" w:rsidRPr="00B46616" w:rsidRDefault="00000000">
      <w:pPr>
        <w:shd w:val="clear" w:color="auto" w:fill="FFFFFF"/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The Colorado </w:t>
      </w:r>
      <w:r w:rsidRPr="00B46616">
        <w:rPr>
          <w:rFonts w:ascii="Arial" w:eastAsia="Arial" w:hAnsi="Arial" w:cs="Arial"/>
          <w:color w:val="222222"/>
          <w:sz w:val="22"/>
          <w:szCs w:val="22"/>
        </w:rPr>
        <w:t xml:space="preserve">Department of Revenue, Division of Taxation, is convening </w:t>
      </w:r>
      <w:r w:rsidR="009D5FFE" w:rsidRPr="00B46616">
        <w:rPr>
          <w:rFonts w:ascii="Arial" w:eastAsia="Arial" w:hAnsi="Arial" w:cs="Arial"/>
          <w:color w:val="222222"/>
          <w:sz w:val="22"/>
          <w:szCs w:val="22"/>
        </w:rPr>
        <w:t>this</w:t>
      </w:r>
      <w:r w:rsidRPr="00B46616">
        <w:rPr>
          <w:rFonts w:ascii="Arial" w:eastAsia="Arial" w:hAnsi="Arial" w:cs="Arial"/>
          <w:color w:val="222222"/>
          <w:sz w:val="22"/>
          <w:szCs w:val="22"/>
        </w:rPr>
        <w:t xml:space="preserve"> workgroup to</w:t>
      </w:r>
      <w:r w:rsidR="009D5FFE" w:rsidRPr="00B46616">
        <w:rPr>
          <w:rFonts w:ascii="Arial" w:eastAsia="Arial" w:hAnsi="Arial" w:cs="Arial"/>
          <w:color w:val="222222"/>
          <w:sz w:val="22"/>
          <w:szCs w:val="22"/>
        </w:rPr>
        <w:t xml:space="preserve"> solicit input on sales tax rules drafted to implement</w:t>
      </w:r>
      <w:r w:rsidRPr="00B46616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hyperlink r:id="rId8">
        <w:r w:rsidRPr="00A85275">
          <w:rPr>
            <w:rFonts w:ascii="Arial" w:eastAsia="Arial" w:hAnsi="Arial" w:cs="Arial"/>
            <w:color w:val="3366CC"/>
            <w:sz w:val="22"/>
            <w:szCs w:val="22"/>
            <w:u w:val="single"/>
          </w:rPr>
          <w:t>House Bill 22-1118</w:t>
        </w:r>
      </w:hyperlink>
      <w:r w:rsidRPr="00B46616">
        <w:rPr>
          <w:rFonts w:ascii="Arial" w:eastAsia="Arial" w:hAnsi="Arial" w:cs="Arial"/>
          <w:color w:val="222222"/>
          <w:sz w:val="22"/>
          <w:szCs w:val="22"/>
        </w:rPr>
        <w:t xml:space="preserve">. </w:t>
      </w:r>
      <w:r w:rsidR="00B46616" w:rsidRPr="00B46616">
        <w:rPr>
          <w:rFonts w:ascii="Arial" w:hAnsi="Arial" w:cs="Arial"/>
          <w:color w:val="1A191A"/>
          <w:sz w:val="22"/>
          <w:szCs w:val="22"/>
          <w:shd w:val="clear" w:color="auto" w:fill="FFFFFF"/>
        </w:rPr>
        <w:t>The Department </w:t>
      </w:r>
      <w:hyperlink r:id="rId9" w:tgtFrame="_blank" w:history="1">
        <w:r w:rsidR="00B46616" w:rsidRPr="00B46616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previously convened a workgroup meeting</w:t>
        </w:r>
      </w:hyperlink>
      <w:r w:rsidR="00B46616" w:rsidRPr="00B46616">
        <w:rPr>
          <w:rFonts w:ascii="Arial" w:hAnsi="Arial" w:cs="Arial"/>
          <w:color w:val="1A191A"/>
          <w:sz w:val="22"/>
          <w:szCs w:val="22"/>
          <w:shd w:val="clear" w:color="auto" w:fill="FFFFFF"/>
        </w:rPr>
        <w:t> to solicit input from the public and considered that input in drafting these rules. In addition to the draft rules, the Department has also prepared a </w:t>
      </w:r>
      <w:hyperlink r:id="rId10" w:tgtFrame="_blank" w:history="1">
        <w:r w:rsidR="00B46616" w:rsidRPr="00B46616">
          <w:rPr>
            <w:rStyle w:val="Hyperlink"/>
            <w:rFonts w:ascii="Arial" w:hAnsi="Arial" w:cs="Arial"/>
            <w:color w:val="3366CC"/>
            <w:sz w:val="22"/>
            <w:szCs w:val="22"/>
            <w:shd w:val="clear" w:color="auto" w:fill="FFFFFF"/>
          </w:rPr>
          <w:t>brief explanation</w:t>
        </w:r>
      </w:hyperlink>
      <w:r w:rsidR="00B46616" w:rsidRPr="00B46616">
        <w:rPr>
          <w:rFonts w:ascii="Arial" w:hAnsi="Arial" w:cs="Arial"/>
          <w:color w:val="1A191A"/>
          <w:sz w:val="22"/>
          <w:szCs w:val="22"/>
          <w:shd w:val="clear" w:color="auto" w:fill="FFFFFF"/>
        </w:rPr>
        <w:t> of how the draft rules address certain issues.</w:t>
      </w:r>
    </w:p>
    <w:p w14:paraId="5B0227BF" w14:textId="77777777" w:rsidR="008B51E1" w:rsidRDefault="00000000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7CBBA45F" w14:textId="77777777" w:rsidR="008B51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459DD67C" w14:textId="1939CE24" w:rsidR="008B51E1" w:rsidRDefault="00000000">
      <w:pPr>
        <w:numPr>
          <w:ilvl w:val="0"/>
          <w:numId w:val="1"/>
        </w:num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Topics for Discussion. The Department intends to seek input on </w:t>
      </w:r>
      <w:r w:rsidR="00114574">
        <w:rPr>
          <w:rFonts w:ascii="Arial" w:eastAsia="Arial" w:hAnsi="Arial" w:cs="Arial"/>
          <w:sz w:val="22"/>
          <w:szCs w:val="22"/>
        </w:rPr>
        <w:t>the draft rules</w:t>
      </w:r>
      <w:r>
        <w:rPr>
          <w:rFonts w:ascii="Arial" w:eastAsia="Arial" w:hAnsi="Arial" w:cs="Arial"/>
          <w:sz w:val="22"/>
          <w:szCs w:val="22"/>
        </w:rPr>
        <w:t>, including</w:t>
      </w:r>
      <w:r w:rsidR="00114574">
        <w:rPr>
          <w:rFonts w:ascii="Arial" w:eastAsia="Arial" w:hAnsi="Arial" w:cs="Arial"/>
          <w:sz w:val="22"/>
          <w:szCs w:val="22"/>
        </w:rPr>
        <w:t xml:space="preserve"> input on</w:t>
      </w:r>
      <w:r>
        <w:rPr>
          <w:rFonts w:ascii="Arial" w:eastAsia="Arial" w:hAnsi="Arial" w:cs="Arial"/>
          <w:sz w:val="22"/>
          <w:szCs w:val="22"/>
        </w:rPr>
        <w:t xml:space="preserve"> those </w:t>
      </w:r>
      <w:r w:rsidR="00114574">
        <w:rPr>
          <w:rFonts w:ascii="Arial" w:eastAsia="Arial" w:hAnsi="Arial" w:cs="Arial"/>
          <w:sz w:val="22"/>
          <w:szCs w:val="22"/>
        </w:rPr>
        <w:t xml:space="preserve">topics </w:t>
      </w:r>
      <w:r>
        <w:rPr>
          <w:rFonts w:ascii="Arial" w:eastAsia="Arial" w:hAnsi="Arial" w:cs="Arial"/>
          <w:sz w:val="22"/>
          <w:szCs w:val="22"/>
        </w:rPr>
        <w:t xml:space="preserve">listed below, but encourages attendees to suggest additional topics for discussion. </w:t>
      </w:r>
    </w:p>
    <w:p w14:paraId="161A66CA" w14:textId="152F04B6" w:rsidR="008B51E1" w:rsidRPr="00924BB5" w:rsidRDefault="000E1096">
      <w:pPr>
        <w:numPr>
          <w:ilvl w:val="1"/>
          <w:numId w:val="1"/>
        </w:numPr>
        <w:spacing w:after="240"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Proof of Payment.</w:t>
      </w:r>
      <w:r>
        <w:rPr>
          <w:rFonts w:ascii="Arial" w:eastAsia="Arial" w:hAnsi="Arial" w:cs="Arial"/>
          <w:sz w:val="22"/>
          <w:szCs w:val="22"/>
        </w:rPr>
        <w:t xml:space="preserve"> Paragraph (5)(d) of draft Rule 39-26-703</w:t>
      </w:r>
      <w:r w:rsidR="00853C70" w:rsidRPr="00853C70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2 identifies three different types of documentation that may be submitted with a refund claim to provide proof of payment. Does paragraph (5)(d) provide sufficient guidance regarding </w:t>
      </w:r>
      <w:r w:rsidR="00853C70">
        <w:rPr>
          <w:rFonts w:ascii="Arial" w:eastAsia="Arial" w:hAnsi="Arial" w:cs="Arial"/>
          <w:sz w:val="22"/>
          <w:szCs w:val="22"/>
        </w:rPr>
        <w:t>acceptable forms of documentation? Are there other forms of documentation that are not mentioned in the draft rule that may be more readily available to the refund applicant?</w:t>
      </w:r>
    </w:p>
    <w:p w14:paraId="06DDBB17" w14:textId="74B4C458" w:rsidR="00924BB5" w:rsidRPr="000E1096" w:rsidRDefault="00924BB5">
      <w:pPr>
        <w:numPr>
          <w:ilvl w:val="1"/>
          <w:numId w:val="1"/>
        </w:numPr>
        <w:spacing w:after="240"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Alternative Forms of Documentation.</w:t>
      </w:r>
      <w:r>
        <w:rPr>
          <w:rFonts w:ascii="Arial" w:eastAsia="Arial" w:hAnsi="Arial" w:cs="Arial"/>
          <w:sz w:val="22"/>
          <w:szCs w:val="22"/>
        </w:rPr>
        <w:t xml:space="preserve"> Paragraph (7) of draft Rule 39-26-703</w:t>
      </w:r>
      <w:r w:rsidRPr="00853C70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2 allows refund applicants to request permission from the Department to submit alternate forms of documentatio</w:t>
      </w:r>
      <w:r w:rsidR="00275423">
        <w:rPr>
          <w:rFonts w:ascii="Arial" w:eastAsia="Arial" w:hAnsi="Arial" w:cs="Arial"/>
          <w:sz w:val="22"/>
          <w:szCs w:val="22"/>
        </w:rPr>
        <w:t xml:space="preserve">n that </w:t>
      </w:r>
      <w:r w:rsidR="00275423" w:rsidRPr="00275423">
        <w:rPr>
          <w:rFonts w:ascii="Arial" w:eastAsia="Arial" w:hAnsi="Arial" w:cs="Arial"/>
          <w:sz w:val="22"/>
          <w:szCs w:val="22"/>
        </w:rPr>
        <w:t>provide sufficient evidence in support of the claim in a manner comparable to the documentation</w:t>
      </w:r>
      <w:r w:rsidR="00275423">
        <w:rPr>
          <w:rFonts w:ascii="Arial" w:eastAsia="Arial" w:hAnsi="Arial" w:cs="Arial"/>
          <w:sz w:val="22"/>
          <w:szCs w:val="22"/>
        </w:rPr>
        <w:t xml:space="preserve"> otherwise required by the rule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275423">
        <w:rPr>
          <w:rFonts w:ascii="Arial" w:eastAsia="Arial" w:hAnsi="Arial" w:cs="Arial"/>
          <w:sz w:val="22"/>
          <w:szCs w:val="22"/>
        </w:rPr>
        <w:t>Should the rule provide any further guidance about the types of alternate documentation that might be approved or the situations that a request might be appropriate?</w:t>
      </w:r>
    </w:p>
    <w:p w14:paraId="0DE61C97" w14:textId="0A096C40" w:rsidR="008B51E1" w:rsidRPr="00853C70" w:rsidRDefault="00853C70">
      <w:pPr>
        <w:numPr>
          <w:ilvl w:val="1"/>
          <w:numId w:val="1"/>
        </w:numPr>
        <w:spacing w:after="240" w:line="276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lastRenderedPageBreak/>
        <w:t>Protective Claims.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53C70">
        <w:rPr>
          <w:rFonts w:ascii="Arial" w:eastAsia="Arial" w:hAnsi="Arial" w:cs="Arial"/>
          <w:sz w:val="22"/>
          <w:szCs w:val="22"/>
        </w:rPr>
        <w:t>The concept of “protective claims” arises from case law regarding federal income tax</w:t>
      </w:r>
      <w:r>
        <w:rPr>
          <w:rFonts w:ascii="Arial" w:eastAsia="Arial" w:hAnsi="Arial" w:cs="Arial"/>
          <w:sz w:val="22"/>
          <w:szCs w:val="22"/>
        </w:rPr>
        <w:t xml:space="preserve"> and protective claims have not previously been addressed in Colorado statute or rules</w:t>
      </w:r>
      <w:r w:rsidRPr="00853C70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Draft Rule 39-26-703</w:t>
      </w:r>
      <w:r w:rsidRPr="00853C70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1 is derived generally from guidance the IRS has issued regarding protective claims. Does the draft rule provide sufficient guidance and explanation regarding protective claims for sales tax refunds?</w:t>
      </w:r>
    </w:p>
    <w:p w14:paraId="4FE39217" w14:textId="77777777" w:rsidR="008B51E1" w:rsidRDefault="00000000">
      <w:pPr>
        <w:numPr>
          <w:ilvl w:val="0"/>
          <w:numId w:val="1"/>
        </w:num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comments or issues for consideration</w:t>
      </w:r>
    </w:p>
    <w:p w14:paraId="68684FE6" w14:textId="77777777" w:rsidR="008B51E1" w:rsidRDefault="00000000">
      <w:pPr>
        <w:numPr>
          <w:ilvl w:val="0"/>
          <w:numId w:val="1"/>
        </w:num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</w:t>
      </w:r>
    </w:p>
    <w:sectPr w:rsidR="008B51E1">
      <w:headerReference w:type="default" r:id="rId11"/>
      <w:headerReference w:type="first" r:id="rId12"/>
      <w:pgSz w:w="12240" w:h="15840"/>
      <w:pgMar w:top="7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413D" w14:textId="77777777" w:rsidR="001769B8" w:rsidRDefault="001769B8">
      <w:r>
        <w:separator/>
      </w:r>
    </w:p>
  </w:endnote>
  <w:endnote w:type="continuationSeparator" w:id="0">
    <w:p w14:paraId="17BE334C" w14:textId="77777777" w:rsidR="001769B8" w:rsidRDefault="001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67D2" w14:textId="77777777" w:rsidR="001769B8" w:rsidRDefault="001769B8">
      <w:r>
        <w:separator/>
      </w:r>
    </w:p>
  </w:footnote>
  <w:footnote w:type="continuationSeparator" w:id="0">
    <w:p w14:paraId="20518294" w14:textId="77777777" w:rsidR="001769B8" w:rsidRDefault="0017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0328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  <w:p w14:paraId="4816E6D4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79EE" w14:textId="77777777" w:rsidR="008B51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543F7F" wp14:editId="6B14DF20">
          <wp:simplePos x="0" y="0"/>
          <wp:positionH relativeFrom="column">
            <wp:posOffset>40788</wp:posOffset>
          </wp:positionH>
          <wp:positionV relativeFrom="paragraph">
            <wp:posOffset>0</wp:posOffset>
          </wp:positionV>
          <wp:extent cx="2564130" cy="488950"/>
          <wp:effectExtent l="0" t="0" r="0" b="0"/>
          <wp:wrapNone/>
          <wp:docPr id="7" name="image1.png" descr="co_dor_div_tax_rgb_ltrh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_dor_div_tax_rgb_ltrh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413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F36956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51D0C31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66988B3" w14:textId="77777777" w:rsidR="008B51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C0AF5C" wp14:editId="6D142314">
              <wp:simplePos x="0" y="0"/>
              <wp:positionH relativeFrom="column">
                <wp:posOffset>1155700</wp:posOffset>
              </wp:positionH>
              <wp:positionV relativeFrom="paragraph">
                <wp:posOffset>50800</wp:posOffset>
              </wp:positionV>
              <wp:extent cx="1718310" cy="68961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1608" y="3439958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29B1F" w14:textId="77777777" w:rsidR="008B51E1" w:rsidRDefault="00000000">
                          <w:pPr>
                            <w:spacing w:line="200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 xml:space="preserve">Office of Tax Policy </w:t>
                          </w:r>
                        </w:p>
                        <w:p w14:paraId="6B55BA9E" w14:textId="77777777" w:rsidR="008B51E1" w:rsidRDefault="00000000">
                          <w:pPr>
                            <w:spacing w:line="200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P.O. Box 17087</w:t>
                          </w:r>
                        </w:p>
                        <w:p w14:paraId="52E52EBE" w14:textId="77777777" w:rsidR="008B51E1" w:rsidRDefault="00000000">
                          <w:pPr>
                            <w:spacing w:line="200" w:lineRule="auto"/>
                            <w:ind w:left="90" w:firstLine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Denver, CO 80217-0087</w:t>
                          </w:r>
                        </w:p>
                        <w:p w14:paraId="3D3F05DE" w14:textId="77777777" w:rsidR="008B51E1" w:rsidRDefault="008B51E1">
                          <w:pPr>
                            <w:spacing w:line="200" w:lineRule="auto"/>
                            <w:ind w:left="90"/>
                            <w:textDirection w:val="btLr"/>
                          </w:pPr>
                        </w:p>
                        <w:p w14:paraId="35D0DD22" w14:textId="77777777" w:rsidR="008B51E1" w:rsidRDefault="00000000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dor_taxpolicy@state.co.us</w:t>
                          </w:r>
                        </w:p>
                        <w:p w14:paraId="28C01FC5" w14:textId="77777777" w:rsidR="008B51E1" w:rsidRDefault="008B51E1">
                          <w:pPr>
                            <w:ind w:left="9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11885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0AF5C" id="Rectangle 6" o:spid="_x0000_s1026" style="position:absolute;margin-left:91pt;margin-top:4pt;width:135.3pt;height:5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" filled="f" stroked="f">
              <v:textbox inset="0,3.30139mm,0,0">
                <w:txbxContent>
                  <w:p w14:paraId="38929B1F" w14:textId="77777777" w:rsidR="008B51E1" w:rsidRDefault="00000000">
                    <w:pPr>
                      <w:spacing w:line="200" w:lineRule="auto"/>
                      <w:ind w:left="90" w:firstLine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 xml:space="preserve">Office of Tax Policy </w:t>
                    </w:r>
                  </w:p>
                  <w:p w14:paraId="6B55BA9E" w14:textId="77777777" w:rsidR="008B51E1" w:rsidRDefault="00000000">
                    <w:pPr>
                      <w:spacing w:line="200" w:lineRule="auto"/>
                      <w:ind w:left="90" w:firstLine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P.O. Box 17087</w:t>
                    </w:r>
                  </w:p>
                  <w:p w14:paraId="52E52EBE" w14:textId="77777777" w:rsidR="008B51E1" w:rsidRDefault="00000000">
                    <w:pPr>
                      <w:spacing w:line="200" w:lineRule="auto"/>
                      <w:ind w:left="90" w:firstLine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Denver, CO 80217-0087</w:t>
                    </w:r>
                  </w:p>
                  <w:p w14:paraId="3D3F05DE" w14:textId="77777777" w:rsidR="008B51E1" w:rsidRDefault="008B51E1">
                    <w:pPr>
                      <w:spacing w:line="200" w:lineRule="auto"/>
                      <w:ind w:left="90"/>
                      <w:textDirection w:val="btLr"/>
                    </w:pPr>
                  </w:p>
                  <w:p w14:paraId="35D0DD22" w14:textId="77777777" w:rsidR="008B51E1" w:rsidRDefault="00000000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dor_taxpolicy@state.co.us</w:t>
                    </w:r>
                  </w:p>
                  <w:p w14:paraId="28C01FC5" w14:textId="77777777" w:rsidR="008B51E1" w:rsidRDefault="008B51E1">
                    <w:pPr>
                      <w:ind w:left="9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9ADE6CA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F7B89DB" w14:textId="77777777" w:rsidR="008B51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  <w:p w14:paraId="0164726D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586673D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0334603" w14:textId="77777777" w:rsidR="008B51E1" w:rsidRDefault="008B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54EE"/>
    <w:multiLevelType w:val="multilevel"/>
    <w:tmpl w:val="D796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32624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E1"/>
    <w:rsid w:val="000E1096"/>
    <w:rsid w:val="00114574"/>
    <w:rsid w:val="001769B8"/>
    <w:rsid w:val="00275423"/>
    <w:rsid w:val="00600DCB"/>
    <w:rsid w:val="00656521"/>
    <w:rsid w:val="00710572"/>
    <w:rsid w:val="007121D3"/>
    <w:rsid w:val="007C4F58"/>
    <w:rsid w:val="00853C70"/>
    <w:rsid w:val="008900B1"/>
    <w:rsid w:val="008B51E1"/>
    <w:rsid w:val="00924BB5"/>
    <w:rsid w:val="009D5FFE"/>
    <w:rsid w:val="00A85275"/>
    <w:rsid w:val="00B145B9"/>
    <w:rsid w:val="00B46616"/>
    <w:rsid w:val="00C429CB"/>
    <w:rsid w:val="00C87A7C"/>
    <w:rsid w:val="00D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4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20"/>
  </w:style>
  <w:style w:type="paragraph" w:styleId="Heading1">
    <w:name w:val="heading 1"/>
    <w:basedOn w:val="Normal"/>
    <w:next w:val="Normal"/>
    <w:link w:val="Heading1Char"/>
    <w:uiPriority w:val="9"/>
    <w:qFormat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742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colorado.gov/bills/hb22-11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s-3A__r20.rs6.net_tn.jsp-3Ff-3D001KpXdisG9ioEDvEaUlnMpvnEeMBsGnMtQSji0Dqk0Vz3VEZodd2qM12p3-5FxzYnR7-5FWk30OBMuuSiCadS72yaF1Rp0L54u87e9NZfFY9qDdjKm6UTaHE45FcniPf2YclVS5AE25etVc0ayL1P1xX6ZpRIvFKDmNnIirGdXh-5FEw8Tu-2DY-5FVOvXQKO1K69ecQlKPgflZAH268EjUekExBqpoiJX-5F-5FlqamA3ZOsGFtizC2Ltb63PUwVVmrbKTahMMjnEu8kM1t5YAnPMKrqJ2jKWNWWwRrIIk06UPbuVm8EZQlbCA7j6WlTm2KbwA7eoMFhbEV-26c-3D8KB-2DdLQLz2MmWc20jp-5FWTp0Z8FJ0kjqZqSx3-2DZoNX0caNhQ8BPsRSQ-3D-3D-26ch-3DKrk0FL2sxtLFCB5WN-2D7C-5Fhb-5FqBBQT1Hit-2DElYcq3YwA2KTaZzvCI8A-3D-3D&amp;d=DwMFaQ&amp;c=sdnEM9SRGFuMt5z5w3AhsPNahmNicq64TgF1JwNR0cs&amp;r=GVUCJKiaBf-BTLwAU_zJygICObVUKY1uBwevNpuXzfg&amp;m=BdHpa1YC95d3oAGW3z8ezTW0QhjDZzGbb6oJMbE5lNV9PdvMJR-_gWEYxXwthrkY&amp;s=RrIlziYv8N4UFAqUpDt5PAnlTnum-q-qJTzHZADKF9M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r20.rs6.net_tn.jsp-3Ff-3D001KpXdisG9ioEDvEaUlnMpvnEeMBsGnMtQSji0Dqk0Vz3VEZodd2qM1xbjgBgGSN7jXxYVKrgOl19nvO6qm91lCleWOQ-5FTV85VRR8AzKsB0FG5IX3AYdmMmvPdQOyY2Y6Jr7PwxIuYEAYinYeV5sGpb8tDKC6OsF7dSWR1kxI1Pqo5Ez0AkPEvlQT31EY71R0PdE844CapgLGi6Xf-2DT6X5vsMjTqtO0aX2QKJyeUhJGFut2UKK-2DkqFkH3Yuo0JOlpkX2CuPRCoAskgbF4JVunHEg-3D-3D-26c-3D8KB-2DdLQLz2MmWc20jp-5FWTp0Z8FJ0kjqZqSx3-2DZoNX0caNhQ8BPsRSQ-3D-3D-26ch-3DKrk0FL2sxtLFCB5WN-2D7C-5Fhb-5FqBBQT1Hit-2DElYcq3YwA2KTaZzvCI8A-3D-3D&amp;d=DwMFaQ&amp;c=sdnEM9SRGFuMt5z5w3AhsPNahmNicq64TgF1JwNR0cs&amp;r=GVUCJKiaBf-BTLwAU_zJygICObVUKY1uBwevNpuXzfg&amp;m=BdHpa1YC95d3oAGW3z8ezTW0QhjDZzGbb6oJMbE5lNV9PdvMJR-_gWEYxXwthrkY&amp;s=ia51hn9S3AdIxhMWT4DtFGWKNa29SEGYIeF7ElDDOH4&amp;e=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C7tSWVZMCj0Vay1W42+4vjLyFQ==">AMUW2mVuiOfpAnlSfxBe0vffqCtrjN4Xqzu39rhOeJPDz+m8LE7RT4f/Y/QFBDrHZHciuVR370u6IQvv8S0aDiAi6ajnAiHi7UYwYxQGhlPJNOYp0pqap/A=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2023-08-07T22:31:00Z</dcterms:created>
  <dcterms:modified xsi:type="dcterms:W3CDTF">2023-08-07T22:31:00Z</dcterms:modified>
</cp:coreProperties>
</file>