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B002" w14:textId="77777777" w:rsidR="008C2B40" w:rsidRDefault="008C2B40">
      <w:pPr>
        <w:jc w:val="right"/>
        <w:rPr>
          <w:rFonts w:ascii="Arial" w:eastAsia="Arial" w:hAnsi="Arial" w:cs="Arial"/>
          <w:sz w:val="22"/>
          <w:szCs w:val="22"/>
        </w:rPr>
      </w:pPr>
    </w:p>
    <w:p w14:paraId="42C8D7F2" w14:textId="16A67BC0" w:rsidR="008C2B40" w:rsidRPr="00073F56" w:rsidRDefault="00A51FF9">
      <w:pPr>
        <w:tabs>
          <w:tab w:val="right" w:pos="9360"/>
        </w:tabs>
        <w:jc w:val="center"/>
        <w:rPr>
          <w:rFonts w:ascii="Arial" w:eastAsia="Arial" w:hAnsi="Arial" w:cs="Arial"/>
        </w:rPr>
      </w:pPr>
      <w:r>
        <w:rPr>
          <w:rFonts w:ascii="Arial" w:eastAsia="Arial" w:hAnsi="Arial" w:cs="Arial"/>
          <w:b/>
        </w:rPr>
        <w:t>Draft Rules to Implement House Bill 22-1118</w:t>
      </w:r>
    </w:p>
    <w:p w14:paraId="2E113B61" w14:textId="77777777" w:rsidR="008C2B40" w:rsidRPr="00073F56" w:rsidRDefault="008C2B40">
      <w:pPr>
        <w:rPr>
          <w:rFonts w:ascii="Arial" w:eastAsia="Arial" w:hAnsi="Arial" w:cs="Arial"/>
        </w:rPr>
      </w:pPr>
    </w:p>
    <w:p w14:paraId="661FB142" w14:textId="77777777" w:rsidR="008C2B40" w:rsidRPr="00073F56" w:rsidRDefault="008C2B40">
      <w:pPr>
        <w:rPr>
          <w:rFonts w:ascii="Arial" w:eastAsia="Arial" w:hAnsi="Arial" w:cs="Arial"/>
        </w:rPr>
      </w:pPr>
    </w:p>
    <w:p w14:paraId="5B0EDC54" w14:textId="23ECC9E9" w:rsidR="008C2B40" w:rsidRPr="00073F56" w:rsidRDefault="00664231">
      <w:pPr>
        <w:shd w:val="clear" w:color="auto" w:fill="FFFFFF"/>
        <w:spacing w:before="240" w:after="240"/>
        <w:jc w:val="both"/>
        <w:rPr>
          <w:rFonts w:ascii="Arial" w:eastAsia="Arial" w:hAnsi="Arial" w:cs="Arial"/>
          <w:color w:val="222222"/>
        </w:rPr>
      </w:pPr>
      <w:r w:rsidRPr="00073F56">
        <w:rPr>
          <w:rFonts w:ascii="Arial" w:eastAsia="Arial" w:hAnsi="Arial" w:cs="Arial"/>
          <w:color w:val="222222"/>
        </w:rPr>
        <w:t>The Colorado Department of Revenue, Division of Taxation, conven</w:t>
      </w:r>
      <w:r w:rsidR="000815DA" w:rsidRPr="00073F56">
        <w:rPr>
          <w:rFonts w:ascii="Arial" w:eastAsia="Arial" w:hAnsi="Arial" w:cs="Arial"/>
          <w:color w:val="222222"/>
        </w:rPr>
        <w:t>ed</w:t>
      </w:r>
      <w:r w:rsidRPr="00073F56">
        <w:rPr>
          <w:rFonts w:ascii="Arial" w:eastAsia="Arial" w:hAnsi="Arial" w:cs="Arial"/>
          <w:color w:val="222222"/>
        </w:rPr>
        <w:t xml:space="preserve"> a workgroup </w:t>
      </w:r>
      <w:r w:rsidR="000815DA" w:rsidRPr="00073F56">
        <w:rPr>
          <w:rFonts w:ascii="Arial" w:eastAsia="Arial" w:hAnsi="Arial" w:cs="Arial"/>
          <w:color w:val="222222"/>
        </w:rPr>
        <w:t xml:space="preserve">February 28, 2023, </w:t>
      </w:r>
      <w:r w:rsidRPr="00073F56">
        <w:rPr>
          <w:rFonts w:ascii="Arial" w:eastAsia="Arial" w:hAnsi="Arial" w:cs="Arial"/>
          <w:color w:val="222222"/>
        </w:rPr>
        <w:t xml:space="preserve">to discuss the promulgation of a new sales tax rule to implement </w:t>
      </w:r>
      <w:hyperlink r:id="rId9">
        <w:r w:rsidRPr="00073F56">
          <w:rPr>
            <w:rFonts w:ascii="Arial" w:eastAsia="Arial" w:hAnsi="Arial" w:cs="Arial"/>
            <w:color w:val="0000FF"/>
            <w:u w:val="single"/>
          </w:rPr>
          <w:t>House Bill 22-1118</w:t>
        </w:r>
      </w:hyperlink>
      <w:r w:rsidRPr="00073F56">
        <w:rPr>
          <w:rFonts w:ascii="Arial" w:eastAsia="Arial" w:hAnsi="Arial" w:cs="Arial"/>
          <w:color w:val="222222"/>
        </w:rPr>
        <w:t xml:space="preserve">. Among other things, the bill requires any purchaser who submits a </w:t>
      </w:r>
      <w:proofErr w:type="gramStart"/>
      <w:r w:rsidRPr="00073F56">
        <w:rPr>
          <w:rFonts w:ascii="Arial" w:eastAsia="Arial" w:hAnsi="Arial" w:cs="Arial"/>
          <w:color w:val="222222"/>
        </w:rPr>
        <w:t>sales</w:t>
      </w:r>
      <w:proofErr w:type="gramEnd"/>
      <w:r w:rsidRPr="00073F56">
        <w:rPr>
          <w:rFonts w:ascii="Arial" w:eastAsia="Arial" w:hAnsi="Arial" w:cs="Arial"/>
          <w:color w:val="222222"/>
        </w:rPr>
        <w:t xml:space="preserve"> </w:t>
      </w:r>
      <w:r w:rsidR="005B3CA6">
        <w:rPr>
          <w:rFonts w:ascii="Arial" w:eastAsia="Arial" w:hAnsi="Arial" w:cs="Arial"/>
          <w:color w:val="222222"/>
        </w:rPr>
        <w:t xml:space="preserve">or use </w:t>
      </w:r>
      <w:r w:rsidRPr="00073F56">
        <w:rPr>
          <w:rFonts w:ascii="Arial" w:eastAsia="Arial" w:hAnsi="Arial" w:cs="Arial"/>
          <w:color w:val="222222"/>
        </w:rPr>
        <w:t xml:space="preserve">tax refund claim to provide with their claim any pertinent data, information, and documentation the Executive Director of the Department may prescribe by rule. </w:t>
      </w:r>
      <w:r w:rsidR="00A51FF9">
        <w:rPr>
          <w:rFonts w:ascii="Arial" w:eastAsia="Arial" w:hAnsi="Arial" w:cs="Arial"/>
          <w:color w:val="222222"/>
        </w:rPr>
        <w:t>The Department has drafted rules to implement House Bill 22-1118, taking into consideration comments provided by stakeholders at the workgroup and written comments received by the Department. A brief discussion of how the draft rules address certain issues is provided below.</w:t>
      </w:r>
      <w:r w:rsidRPr="00073F56">
        <w:rPr>
          <w:rFonts w:ascii="Arial" w:eastAsia="Arial" w:hAnsi="Arial" w:cs="Arial"/>
          <w:color w:val="222222"/>
        </w:rPr>
        <w:t xml:space="preserve">  </w:t>
      </w:r>
    </w:p>
    <w:p w14:paraId="42EBB5BF" w14:textId="2CEA70C5" w:rsidR="00A86115" w:rsidRPr="00073F56" w:rsidRDefault="00A86115" w:rsidP="00A86115">
      <w:pPr>
        <w:shd w:val="clear" w:color="auto" w:fill="FFFFFF"/>
        <w:spacing w:before="240" w:after="240"/>
        <w:jc w:val="center"/>
        <w:rPr>
          <w:rFonts w:ascii="Arial" w:eastAsia="Arial" w:hAnsi="Arial" w:cs="Arial"/>
          <w:b/>
          <w:bCs/>
          <w:i/>
          <w:iCs/>
          <w:color w:val="222222"/>
          <w:u w:val="single"/>
        </w:rPr>
      </w:pPr>
      <w:r w:rsidRPr="00073F56">
        <w:rPr>
          <w:rFonts w:ascii="Arial" w:eastAsia="Arial" w:hAnsi="Arial" w:cs="Arial"/>
          <w:b/>
          <w:bCs/>
          <w:i/>
          <w:iCs/>
          <w:color w:val="222222"/>
          <w:u w:val="single"/>
        </w:rPr>
        <w:t>Sellers’ Account Numbers</w:t>
      </w:r>
    </w:p>
    <w:p w14:paraId="3BAC164B" w14:textId="12CB2E4B" w:rsidR="00A86115" w:rsidRPr="00073F56" w:rsidRDefault="00A96A7F">
      <w:pPr>
        <w:shd w:val="clear" w:color="auto" w:fill="FFFFFF"/>
        <w:spacing w:before="240" w:after="240"/>
        <w:jc w:val="both"/>
        <w:rPr>
          <w:rFonts w:ascii="Arial" w:eastAsia="Arial" w:hAnsi="Arial" w:cs="Arial"/>
          <w:color w:val="222222"/>
        </w:rPr>
      </w:pPr>
      <w:r w:rsidRPr="00073F56">
        <w:rPr>
          <w:rFonts w:ascii="Arial" w:eastAsia="Arial" w:hAnsi="Arial" w:cs="Arial"/>
          <w:color w:val="222222"/>
        </w:rPr>
        <w:t>Currently, the Department requires purchasers to provide with their refund claim the federal employer identification number (FEIN) or Colorado account number (CAN) for the seller of each sales transaction included in the refund claim.</w:t>
      </w:r>
      <w:r w:rsidR="005B3CA6">
        <w:rPr>
          <w:rFonts w:ascii="Arial" w:eastAsia="Arial" w:hAnsi="Arial" w:cs="Arial"/>
          <w:color w:val="222222"/>
        </w:rPr>
        <w:t xml:space="preserve"> S</w:t>
      </w:r>
      <w:r w:rsidR="00A86115" w:rsidRPr="00073F56">
        <w:rPr>
          <w:rFonts w:ascii="Arial" w:eastAsia="Arial" w:hAnsi="Arial" w:cs="Arial"/>
          <w:color w:val="222222"/>
        </w:rPr>
        <w:t xml:space="preserve">takeholders </w:t>
      </w:r>
      <w:r w:rsidRPr="00073F56">
        <w:rPr>
          <w:rFonts w:ascii="Arial" w:eastAsia="Arial" w:hAnsi="Arial" w:cs="Arial"/>
          <w:color w:val="222222"/>
        </w:rPr>
        <w:t xml:space="preserve">indicated that purchasers may have difficulty obtaining the FEIN or CAN from the seller because the seller has gone out of business, is not responsive, or is not willing to provide it to the purchaser. However, a sales tax refund can only be allowed if the sales tax was paid to a licensed seller and </w:t>
      </w:r>
      <w:r w:rsidR="001804AB">
        <w:rPr>
          <w:rFonts w:ascii="Arial" w:eastAsia="Arial" w:hAnsi="Arial" w:cs="Arial"/>
          <w:color w:val="222222"/>
        </w:rPr>
        <w:t xml:space="preserve">the Department needs the seller’s </w:t>
      </w:r>
      <w:r w:rsidRPr="00073F56">
        <w:rPr>
          <w:rFonts w:ascii="Arial" w:eastAsia="Arial" w:hAnsi="Arial" w:cs="Arial"/>
          <w:color w:val="222222"/>
        </w:rPr>
        <w:t xml:space="preserve">FEIN or </w:t>
      </w:r>
      <w:proofErr w:type="gramStart"/>
      <w:r w:rsidRPr="00073F56">
        <w:rPr>
          <w:rFonts w:ascii="Arial" w:eastAsia="Arial" w:hAnsi="Arial" w:cs="Arial"/>
          <w:color w:val="222222"/>
        </w:rPr>
        <w:t>CAN to</w:t>
      </w:r>
      <w:proofErr w:type="gramEnd"/>
      <w:r w:rsidRPr="00073F56">
        <w:rPr>
          <w:rFonts w:ascii="Arial" w:eastAsia="Arial" w:hAnsi="Arial" w:cs="Arial"/>
          <w:color w:val="222222"/>
        </w:rPr>
        <w:t xml:space="preserve"> verify licensure.  </w:t>
      </w:r>
    </w:p>
    <w:p w14:paraId="0C7C8A2B" w14:textId="5F6C555E" w:rsidR="00A86115" w:rsidRPr="00073F56" w:rsidRDefault="00A96A7F" w:rsidP="001804AB">
      <w:pPr>
        <w:shd w:val="clear" w:color="auto" w:fill="FFFFFF"/>
        <w:spacing w:before="240" w:after="240"/>
        <w:jc w:val="both"/>
      </w:pPr>
      <w:r w:rsidRPr="00073F56">
        <w:rPr>
          <w:rFonts w:ascii="Arial" w:eastAsia="Arial" w:hAnsi="Arial" w:cs="Arial"/>
          <w:color w:val="222222"/>
        </w:rPr>
        <w:t xml:space="preserve">The draft rule </w:t>
      </w:r>
      <w:r w:rsidR="00162946" w:rsidRPr="00073F56">
        <w:rPr>
          <w:rFonts w:ascii="Arial" w:eastAsia="Arial" w:hAnsi="Arial" w:cs="Arial"/>
          <w:color w:val="222222"/>
        </w:rPr>
        <w:t xml:space="preserve">attempts to </w:t>
      </w:r>
      <w:r w:rsidRPr="00073F56">
        <w:rPr>
          <w:rFonts w:ascii="Arial" w:eastAsia="Arial" w:hAnsi="Arial" w:cs="Arial"/>
          <w:color w:val="222222"/>
        </w:rPr>
        <w:t xml:space="preserve">balance the Department’s </w:t>
      </w:r>
      <w:r w:rsidR="00162946" w:rsidRPr="00073F56">
        <w:rPr>
          <w:rFonts w:ascii="Arial" w:eastAsia="Arial" w:hAnsi="Arial" w:cs="Arial"/>
          <w:color w:val="222222"/>
        </w:rPr>
        <w:t xml:space="preserve">duty and obligation </w:t>
      </w:r>
      <w:r w:rsidRPr="00073F56">
        <w:rPr>
          <w:rFonts w:ascii="Arial" w:eastAsia="Arial" w:hAnsi="Arial" w:cs="Arial"/>
          <w:color w:val="222222"/>
        </w:rPr>
        <w:t xml:space="preserve">to verify licensure with the </w:t>
      </w:r>
      <w:r w:rsidR="005B3CA6">
        <w:rPr>
          <w:rFonts w:ascii="Arial" w:eastAsia="Arial" w:hAnsi="Arial" w:cs="Arial"/>
          <w:color w:val="222222"/>
        </w:rPr>
        <w:t>challenges</w:t>
      </w:r>
      <w:r w:rsidRPr="00073F56">
        <w:rPr>
          <w:rFonts w:ascii="Arial" w:eastAsia="Arial" w:hAnsi="Arial" w:cs="Arial"/>
          <w:color w:val="222222"/>
        </w:rPr>
        <w:t xml:space="preserve"> that purchasers may </w:t>
      </w:r>
      <w:r w:rsidR="005B3CA6">
        <w:rPr>
          <w:rFonts w:ascii="Arial" w:eastAsia="Arial" w:hAnsi="Arial" w:cs="Arial"/>
          <w:color w:val="222222"/>
        </w:rPr>
        <w:t>face in</w:t>
      </w:r>
      <w:r w:rsidRPr="00073F56">
        <w:rPr>
          <w:rFonts w:ascii="Arial" w:eastAsia="Arial" w:hAnsi="Arial" w:cs="Arial"/>
          <w:color w:val="222222"/>
        </w:rPr>
        <w:t xml:space="preserve"> obtain</w:t>
      </w:r>
      <w:r w:rsidR="005B3CA6">
        <w:rPr>
          <w:rFonts w:ascii="Arial" w:eastAsia="Arial" w:hAnsi="Arial" w:cs="Arial"/>
          <w:color w:val="222222"/>
        </w:rPr>
        <w:t>ing</w:t>
      </w:r>
      <w:r w:rsidRPr="00073F56">
        <w:rPr>
          <w:rFonts w:ascii="Arial" w:eastAsia="Arial" w:hAnsi="Arial" w:cs="Arial"/>
          <w:color w:val="222222"/>
        </w:rPr>
        <w:t xml:space="preserve"> the FEIN or CAN for a particular seller included in the refund claim. </w:t>
      </w:r>
      <w:r w:rsidR="00162946" w:rsidRPr="00073F56">
        <w:rPr>
          <w:rFonts w:ascii="Arial" w:eastAsia="Arial" w:hAnsi="Arial" w:cs="Arial"/>
          <w:color w:val="222222"/>
        </w:rPr>
        <w:t xml:space="preserve">With respect to each transaction included in the refund claim, </w:t>
      </w:r>
      <w:r w:rsidR="002601AB">
        <w:rPr>
          <w:rFonts w:ascii="Arial" w:eastAsia="Arial" w:hAnsi="Arial" w:cs="Arial"/>
          <w:color w:val="222222"/>
        </w:rPr>
        <w:t xml:space="preserve">draft </w:t>
      </w:r>
      <w:r w:rsidR="002601AB" w:rsidRPr="002601AB">
        <w:rPr>
          <w:rFonts w:ascii="Arial" w:eastAsia="Arial" w:hAnsi="Arial" w:cs="Arial"/>
          <w:color w:val="222222"/>
        </w:rPr>
        <w:t>Rule 39-26-703–</w:t>
      </w:r>
      <w:r w:rsidR="002601AB">
        <w:rPr>
          <w:rFonts w:ascii="Arial" w:eastAsia="Arial" w:hAnsi="Arial" w:cs="Arial"/>
          <w:color w:val="222222"/>
        </w:rPr>
        <w:t>2</w:t>
      </w:r>
      <w:r w:rsidR="001804AB" w:rsidRPr="00073F56">
        <w:rPr>
          <w:rFonts w:ascii="Arial" w:eastAsia="Arial" w:hAnsi="Arial" w:cs="Arial"/>
          <w:color w:val="222222"/>
        </w:rPr>
        <w:t>(</w:t>
      </w:r>
      <w:r w:rsidR="005B3CA6">
        <w:rPr>
          <w:rFonts w:ascii="Arial" w:eastAsia="Arial" w:hAnsi="Arial" w:cs="Arial"/>
          <w:color w:val="222222"/>
        </w:rPr>
        <w:t>3</w:t>
      </w:r>
      <w:r w:rsidR="001804AB" w:rsidRPr="00073F56">
        <w:rPr>
          <w:rFonts w:ascii="Arial" w:eastAsia="Arial" w:hAnsi="Arial" w:cs="Arial"/>
          <w:color w:val="222222"/>
        </w:rPr>
        <w:t>)(a)(ii) and (</w:t>
      </w:r>
      <w:r w:rsidR="005B3CA6">
        <w:rPr>
          <w:rFonts w:ascii="Arial" w:eastAsia="Arial" w:hAnsi="Arial" w:cs="Arial"/>
          <w:color w:val="222222"/>
        </w:rPr>
        <w:t>3</w:t>
      </w:r>
      <w:r w:rsidR="001804AB" w:rsidRPr="00073F56">
        <w:rPr>
          <w:rFonts w:ascii="Arial" w:eastAsia="Arial" w:hAnsi="Arial" w:cs="Arial"/>
          <w:color w:val="222222"/>
        </w:rPr>
        <w:t xml:space="preserve">)(b) </w:t>
      </w:r>
      <w:r w:rsidR="00162946" w:rsidRPr="00073F56">
        <w:rPr>
          <w:rFonts w:ascii="Arial" w:eastAsia="Arial" w:hAnsi="Arial" w:cs="Arial"/>
          <w:color w:val="222222"/>
        </w:rPr>
        <w:t xml:space="preserve">require the refund applicant to make a good faith effort to obtain the FEIN or CAN for the seller and provide it with the claim, but also allows an exception if the applicant is unable to obtain the CAN or FEIN for the seller, despite the applicant’s good faith effort. In such case, the applicant must include with their refund claim information that allows the Department to identify the seller’s CAN or FEIN. </w:t>
      </w:r>
    </w:p>
    <w:p w14:paraId="3BB6580D" w14:textId="599CDE35" w:rsidR="00A86115" w:rsidRPr="00073F56" w:rsidRDefault="00472919" w:rsidP="00162946">
      <w:pPr>
        <w:shd w:val="clear" w:color="auto" w:fill="FFFFFF"/>
        <w:spacing w:before="240" w:after="240"/>
        <w:jc w:val="center"/>
        <w:rPr>
          <w:rFonts w:ascii="Arial" w:eastAsia="Arial" w:hAnsi="Arial" w:cs="Arial"/>
          <w:b/>
          <w:bCs/>
          <w:i/>
          <w:iCs/>
          <w:color w:val="222222"/>
          <w:u w:val="single"/>
        </w:rPr>
      </w:pPr>
      <w:r w:rsidRPr="00073F56">
        <w:rPr>
          <w:rFonts w:ascii="Arial" w:eastAsia="Arial" w:hAnsi="Arial" w:cs="Arial"/>
          <w:b/>
          <w:bCs/>
          <w:i/>
          <w:iCs/>
          <w:color w:val="222222"/>
          <w:u w:val="single"/>
        </w:rPr>
        <w:t>Local Sales Taxes</w:t>
      </w:r>
    </w:p>
    <w:p w14:paraId="582DEC4C" w14:textId="470AACB0" w:rsidR="00A86115" w:rsidRDefault="00472919">
      <w:pPr>
        <w:shd w:val="clear" w:color="auto" w:fill="FFFFFF"/>
        <w:spacing w:before="240" w:after="240"/>
        <w:jc w:val="both"/>
        <w:rPr>
          <w:rFonts w:ascii="Arial" w:eastAsia="Arial" w:hAnsi="Arial" w:cs="Arial"/>
          <w:color w:val="222222"/>
        </w:rPr>
      </w:pPr>
      <w:r w:rsidRPr="00073F56">
        <w:rPr>
          <w:rFonts w:ascii="Arial" w:eastAsia="Arial" w:hAnsi="Arial" w:cs="Arial"/>
          <w:color w:val="222222"/>
        </w:rPr>
        <w:t>Currently, the Department requires purchasers to provide with their refund claim a separate accounting of each state-administered local sales tax, such as city, county, and special district sales tax, included in the claim.</w:t>
      </w:r>
      <w:r w:rsidR="00073F56" w:rsidRPr="00073F56">
        <w:rPr>
          <w:rFonts w:ascii="Arial" w:eastAsia="Arial" w:hAnsi="Arial" w:cs="Arial"/>
          <w:color w:val="222222"/>
        </w:rPr>
        <w:t xml:space="preserve"> At the workgroup, stakeholders indicated that this generally did not present a challenge for business</w:t>
      </w:r>
      <w:r w:rsidR="001804AB">
        <w:rPr>
          <w:rFonts w:ascii="Arial" w:eastAsia="Arial" w:hAnsi="Arial" w:cs="Arial"/>
          <w:color w:val="222222"/>
        </w:rPr>
        <w:t>es</w:t>
      </w:r>
      <w:r w:rsidR="00073F56" w:rsidRPr="00073F56">
        <w:rPr>
          <w:rFonts w:ascii="Arial" w:eastAsia="Arial" w:hAnsi="Arial" w:cs="Arial"/>
          <w:color w:val="222222"/>
        </w:rPr>
        <w:t xml:space="preserve"> claiming sales tax refunds but acknowledged that it may be difficult for private individuals claiming sales tax refunds. </w:t>
      </w:r>
      <w:r w:rsidR="00667CEA">
        <w:rPr>
          <w:rFonts w:ascii="Arial" w:eastAsia="Arial" w:hAnsi="Arial" w:cs="Arial"/>
          <w:color w:val="222222"/>
        </w:rPr>
        <w:t>Because t</w:t>
      </w:r>
      <w:r w:rsidR="00073F56" w:rsidRPr="00073F56">
        <w:rPr>
          <w:rFonts w:ascii="Arial" w:eastAsia="Arial" w:hAnsi="Arial" w:cs="Arial"/>
          <w:color w:val="222222"/>
        </w:rPr>
        <w:t xml:space="preserve">he </w:t>
      </w:r>
      <w:r w:rsidR="00667CEA">
        <w:rPr>
          <w:rFonts w:ascii="Arial" w:eastAsia="Arial" w:hAnsi="Arial" w:cs="Arial"/>
          <w:color w:val="222222"/>
        </w:rPr>
        <w:t>Department administers sales tax for many local jurisdictions, it must ensure that refunds are made from the sales taxes paid to the applicable local jurisdiction.</w:t>
      </w:r>
    </w:p>
    <w:p w14:paraId="64BF8135" w14:textId="0C008F4C" w:rsidR="00073F56" w:rsidRPr="00073F56" w:rsidRDefault="00667CEA" w:rsidP="001804AB">
      <w:pPr>
        <w:shd w:val="clear" w:color="auto" w:fill="FFFFFF"/>
        <w:spacing w:before="240" w:after="240"/>
        <w:jc w:val="both"/>
      </w:pPr>
      <w:r>
        <w:rPr>
          <w:rFonts w:ascii="Arial" w:eastAsia="Arial" w:hAnsi="Arial" w:cs="Arial"/>
          <w:color w:val="222222"/>
        </w:rPr>
        <w:t xml:space="preserve">The draft rule attempts to balance the Department’s fiduciary responsibilities to local jurisdictions with consideration </w:t>
      </w:r>
      <w:r w:rsidR="001804AB">
        <w:rPr>
          <w:rFonts w:ascii="Arial" w:eastAsia="Arial" w:hAnsi="Arial" w:cs="Arial"/>
          <w:color w:val="222222"/>
        </w:rPr>
        <w:t>for</w:t>
      </w:r>
      <w:r>
        <w:rPr>
          <w:rFonts w:ascii="Arial" w:eastAsia="Arial" w:hAnsi="Arial" w:cs="Arial"/>
          <w:color w:val="222222"/>
        </w:rPr>
        <w:t xml:space="preserve"> the challenges a private individual may encounter in determining the amount of each local sales tax included in their purchases and refund claims. </w:t>
      </w:r>
      <w:r w:rsidRPr="00073F56">
        <w:rPr>
          <w:rFonts w:ascii="Arial" w:eastAsia="Arial" w:hAnsi="Arial" w:cs="Arial"/>
          <w:color w:val="222222"/>
        </w:rPr>
        <w:t xml:space="preserve">With respect to each transaction included in the refund claim, </w:t>
      </w:r>
      <w:r w:rsidR="002601AB">
        <w:rPr>
          <w:rFonts w:ascii="Arial" w:eastAsia="Arial" w:hAnsi="Arial" w:cs="Arial"/>
          <w:color w:val="222222"/>
        </w:rPr>
        <w:t xml:space="preserve">draft </w:t>
      </w:r>
      <w:r w:rsidR="002601AB" w:rsidRPr="002601AB">
        <w:rPr>
          <w:rFonts w:ascii="Arial" w:eastAsia="Arial" w:hAnsi="Arial" w:cs="Arial"/>
          <w:color w:val="222222"/>
        </w:rPr>
        <w:t>Rule 39-26-703–</w:t>
      </w:r>
      <w:r w:rsidR="002601AB">
        <w:rPr>
          <w:rFonts w:ascii="Arial" w:eastAsia="Arial" w:hAnsi="Arial" w:cs="Arial"/>
          <w:color w:val="222222"/>
        </w:rPr>
        <w:t>2(</w:t>
      </w:r>
      <w:r w:rsidR="008B18D6">
        <w:rPr>
          <w:rFonts w:ascii="Arial" w:eastAsia="Arial" w:hAnsi="Arial" w:cs="Arial"/>
          <w:color w:val="222222"/>
        </w:rPr>
        <w:t>3</w:t>
      </w:r>
      <w:r w:rsidR="001804AB" w:rsidRPr="00073F56">
        <w:rPr>
          <w:rFonts w:ascii="Arial" w:eastAsia="Arial" w:hAnsi="Arial" w:cs="Arial"/>
          <w:color w:val="222222"/>
        </w:rPr>
        <w:t>)(a)(</w:t>
      </w:r>
      <w:r w:rsidR="001804AB">
        <w:rPr>
          <w:rFonts w:ascii="Arial" w:eastAsia="Arial" w:hAnsi="Arial" w:cs="Arial"/>
          <w:color w:val="222222"/>
        </w:rPr>
        <w:t>v</w:t>
      </w:r>
      <w:r w:rsidR="001804AB" w:rsidRPr="00073F56">
        <w:rPr>
          <w:rFonts w:ascii="Arial" w:eastAsia="Arial" w:hAnsi="Arial" w:cs="Arial"/>
          <w:color w:val="222222"/>
        </w:rPr>
        <w:t>i) and (</w:t>
      </w:r>
      <w:r w:rsidR="008B18D6">
        <w:rPr>
          <w:rFonts w:ascii="Arial" w:eastAsia="Arial" w:hAnsi="Arial" w:cs="Arial"/>
          <w:color w:val="222222"/>
        </w:rPr>
        <w:t>3</w:t>
      </w:r>
      <w:r w:rsidR="001804AB" w:rsidRPr="00073F56">
        <w:rPr>
          <w:rFonts w:ascii="Arial" w:eastAsia="Arial" w:hAnsi="Arial" w:cs="Arial"/>
          <w:color w:val="222222"/>
        </w:rPr>
        <w:t>)(</w:t>
      </w:r>
      <w:r w:rsidR="001804AB">
        <w:rPr>
          <w:rFonts w:ascii="Arial" w:eastAsia="Arial" w:hAnsi="Arial" w:cs="Arial"/>
          <w:color w:val="222222"/>
        </w:rPr>
        <w:t>c</w:t>
      </w:r>
      <w:r w:rsidR="001804AB" w:rsidRPr="00073F56">
        <w:rPr>
          <w:rFonts w:ascii="Arial" w:eastAsia="Arial" w:hAnsi="Arial" w:cs="Arial"/>
          <w:color w:val="222222"/>
        </w:rPr>
        <w:t xml:space="preserve">) </w:t>
      </w:r>
      <w:r w:rsidRPr="00073F56">
        <w:rPr>
          <w:rFonts w:ascii="Arial" w:eastAsia="Arial" w:hAnsi="Arial" w:cs="Arial"/>
          <w:color w:val="222222"/>
        </w:rPr>
        <w:t>require the refund applicant to</w:t>
      </w:r>
      <w:r>
        <w:rPr>
          <w:rFonts w:ascii="Arial" w:eastAsia="Arial" w:hAnsi="Arial" w:cs="Arial"/>
          <w:color w:val="222222"/>
        </w:rPr>
        <w:t xml:space="preserve"> separately state the amount of </w:t>
      </w:r>
      <w:r w:rsidRPr="00667CEA">
        <w:rPr>
          <w:rFonts w:ascii="Arial" w:eastAsia="Arial" w:hAnsi="Arial" w:cs="Arial"/>
          <w:color w:val="222222"/>
        </w:rPr>
        <w:t>state, city, county, and special district sales tax paid</w:t>
      </w:r>
      <w:r>
        <w:rPr>
          <w:rFonts w:ascii="Arial" w:eastAsia="Arial" w:hAnsi="Arial" w:cs="Arial"/>
          <w:color w:val="222222"/>
        </w:rPr>
        <w:t xml:space="preserve"> but also allows an exception for refund claims made by private individuals. </w:t>
      </w:r>
    </w:p>
    <w:p w14:paraId="1DBF42D3" w14:textId="77777777" w:rsidR="005D2096" w:rsidRDefault="005D2096" w:rsidP="00595227">
      <w:pPr>
        <w:shd w:val="clear" w:color="auto" w:fill="FFFFFF"/>
        <w:spacing w:before="240" w:after="240"/>
        <w:jc w:val="center"/>
        <w:rPr>
          <w:rFonts w:ascii="Arial" w:eastAsia="Arial" w:hAnsi="Arial" w:cs="Arial"/>
          <w:b/>
          <w:bCs/>
          <w:i/>
          <w:iCs/>
          <w:color w:val="222222"/>
          <w:u w:val="single"/>
        </w:rPr>
      </w:pPr>
      <w:r>
        <w:rPr>
          <w:rFonts w:ascii="Arial" w:eastAsia="Arial" w:hAnsi="Arial" w:cs="Arial"/>
          <w:b/>
          <w:bCs/>
          <w:i/>
          <w:iCs/>
          <w:color w:val="222222"/>
          <w:u w:val="single"/>
        </w:rPr>
        <w:br w:type="page"/>
      </w:r>
    </w:p>
    <w:p w14:paraId="452747D3" w14:textId="1B4413FB" w:rsidR="00073F56" w:rsidRPr="00595227" w:rsidRDefault="00595227" w:rsidP="00595227">
      <w:pPr>
        <w:shd w:val="clear" w:color="auto" w:fill="FFFFFF"/>
        <w:spacing w:before="240" w:after="240"/>
        <w:jc w:val="center"/>
        <w:rPr>
          <w:rFonts w:ascii="Arial" w:eastAsia="Arial" w:hAnsi="Arial" w:cs="Arial"/>
          <w:b/>
          <w:bCs/>
          <w:i/>
          <w:iCs/>
          <w:color w:val="222222"/>
          <w:u w:val="single"/>
        </w:rPr>
      </w:pPr>
      <w:r>
        <w:rPr>
          <w:rFonts w:ascii="Arial" w:eastAsia="Arial" w:hAnsi="Arial" w:cs="Arial"/>
          <w:b/>
          <w:bCs/>
          <w:i/>
          <w:iCs/>
          <w:color w:val="222222"/>
          <w:u w:val="single"/>
        </w:rPr>
        <w:lastRenderedPageBreak/>
        <w:t>Required Documentation</w:t>
      </w:r>
    </w:p>
    <w:p w14:paraId="6152478D" w14:textId="1F811828" w:rsidR="00595227" w:rsidRDefault="00595227">
      <w:pPr>
        <w:shd w:val="clear" w:color="auto" w:fill="FFFFFF"/>
        <w:spacing w:before="240" w:after="240"/>
        <w:jc w:val="both"/>
        <w:rPr>
          <w:rFonts w:ascii="Arial" w:eastAsia="Arial" w:hAnsi="Arial" w:cs="Arial"/>
          <w:color w:val="222222"/>
        </w:rPr>
      </w:pPr>
      <w:r>
        <w:rPr>
          <w:rFonts w:ascii="Arial" w:eastAsia="Arial" w:hAnsi="Arial" w:cs="Arial"/>
          <w:color w:val="222222"/>
        </w:rPr>
        <w:t xml:space="preserve">Currently, the Department requires refund applicants to submit </w:t>
      </w:r>
      <w:r w:rsidR="001804AB">
        <w:rPr>
          <w:rFonts w:ascii="Arial" w:eastAsia="Arial" w:hAnsi="Arial" w:cs="Arial"/>
          <w:color w:val="222222"/>
        </w:rPr>
        <w:t xml:space="preserve">invoices and proof of payment </w:t>
      </w:r>
      <w:r>
        <w:rPr>
          <w:rFonts w:ascii="Arial" w:eastAsia="Arial" w:hAnsi="Arial" w:cs="Arial"/>
          <w:color w:val="222222"/>
        </w:rPr>
        <w:t xml:space="preserve">with </w:t>
      </w:r>
      <w:r w:rsidR="001804AB">
        <w:rPr>
          <w:rFonts w:ascii="Arial" w:eastAsia="Arial" w:hAnsi="Arial" w:cs="Arial"/>
          <w:color w:val="222222"/>
        </w:rPr>
        <w:t xml:space="preserve">their </w:t>
      </w:r>
      <w:r>
        <w:rPr>
          <w:rFonts w:ascii="Arial" w:eastAsia="Arial" w:hAnsi="Arial" w:cs="Arial"/>
          <w:color w:val="222222"/>
        </w:rPr>
        <w:t xml:space="preserve">refund claims. For refund claims </w:t>
      </w:r>
      <w:r w:rsidR="002E71E7">
        <w:rPr>
          <w:rFonts w:ascii="Arial" w:eastAsia="Arial" w:hAnsi="Arial" w:cs="Arial"/>
          <w:color w:val="222222"/>
        </w:rPr>
        <w:t>including</w:t>
      </w:r>
      <w:r>
        <w:rPr>
          <w:rFonts w:ascii="Arial" w:eastAsia="Arial" w:hAnsi="Arial" w:cs="Arial"/>
          <w:color w:val="222222"/>
        </w:rPr>
        <w:t xml:space="preserve"> fewer than 100 </w:t>
      </w:r>
      <w:r w:rsidR="002E71E7">
        <w:rPr>
          <w:rFonts w:ascii="Arial" w:eastAsia="Arial" w:hAnsi="Arial" w:cs="Arial"/>
          <w:color w:val="222222"/>
        </w:rPr>
        <w:t>total invoices</w:t>
      </w:r>
      <w:r>
        <w:rPr>
          <w:rFonts w:ascii="Arial" w:eastAsia="Arial" w:hAnsi="Arial" w:cs="Arial"/>
          <w:color w:val="222222"/>
        </w:rPr>
        <w:t xml:space="preserve">, the claimant must provide </w:t>
      </w:r>
      <w:r w:rsidR="002E71E7">
        <w:rPr>
          <w:rFonts w:ascii="Arial" w:eastAsia="Arial" w:hAnsi="Arial" w:cs="Arial"/>
          <w:color w:val="222222"/>
        </w:rPr>
        <w:t xml:space="preserve">copies of all </w:t>
      </w:r>
      <w:r>
        <w:rPr>
          <w:rFonts w:ascii="Arial" w:eastAsia="Arial" w:hAnsi="Arial" w:cs="Arial"/>
          <w:color w:val="222222"/>
        </w:rPr>
        <w:t>invoices and proof of payment</w:t>
      </w:r>
      <w:r w:rsidR="002E71E7">
        <w:rPr>
          <w:rFonts w:ascii="Arial" w:eastAsia="Arial" w:hAnsi="Arial" w:cs="Arial"/>
          <w:color w:val="222222"/>
        </w:rPr>
        <w:t>s</w:t>
      </w:r>
      <w:r>
        <w:rPr>
          <w:rFonts w:ascii="Arial" w:eastAsia="Arial" w:hAnsi="Arial" w:cs="Arial"/>
          <w:color w:val="222222"/>
        </w:rPr>
        <w:t xml:space="preserve"> </w:t>
      </w:r>
      <w:r w:rsidR="002E71E7">
        <w:rPr>
          <w:rFonts w:ascii="Arial" w:eastAsia="Arial" w:hAnsi="Arial" w:cs="Arial"/>
          <w:color w:val="222222"/>
        </w:rPr>
        <w:t>included in the claim</w:t>
      </w:r>
      <w:r>
        <w:rPr>
          <w:rFonts w:ascii="Arial" w:eastAsia="Arial" w:hAnsi="Arial" w:cs="Arial"/>
          <w:color w:val="222222"/>
        </w:rPr>
        <w:t xml:space="preserve">. For claims </w:t>
      </w:r>
      <w:r w:rsidR="002E71E7">
        <w:rPr>
          <w:rFonts w:ascii="Arial" w:eastAsia="Arial" w:hAnsi="Arial" w:cs="Arial"/>
          <w:color w:val="222222"/>
        </w:rPr>
        <w:t>including</w:t>
      </w:r>
      <w:r>
        <w:rPr>
          <w:rFonts w:ascii="Arial" w:eastAsia="Arial" w:hAnsi="Arial" w:cs="Arial"/>
          <w:color w:val="222222"/>
        </w:rPr>
        <w:t xml:space="preserve"> 100 or more </w:t>
      </w:r>
      <w:r w:rsidR="002E71E7">
        <w:rPr>
          <w:rFonts w:ascii="Arial" w:eastAsia="Arial" w:hAnsi="Arial" w:cs="Arial"/>
          <w:color w:val="222222"/>
        </w:rPr>
        <w:t>total invoices</w:t>
      </w:r>
      <w:r>
        <w:rPr>
          <w:rFonts w:ascii="Arial" w:eastAsia="Arial" w:hAnsi="Arial" w:cs="Arial"/>
          <w:color w:val="222222"/>
        </w:rPr>
        <w:t xml:space="preserve">, the claimant must provide </w:t>
      </w:r>
      <w:r w:rsidR="00CB0EBF">
        <w:rPr>
          <w:rFonts w:ascii="Arial" w:eastAsia="Arial" w:hAnsi="Arial" w:cs="Arial"/>
          <w:color w:val="222222"/>
        </w:rPr>
        <w:t xml:space="preserve">invoices and proof of payment for at least 25% of the </w:t>
      </w:r>
      <w:r w:rsidR="002E71E7">
        <w:rPr>
          <w:rFonts w:ascii="Arial" w:eastAsia="Arial" w:hAnsi="Arial" w:cs="Arial"/>
          <w:color w:val="222222"/>
        </w:rPr>
        <w:t>invoices</w:t>
      </w:r>
      <w:r w:rsidR="00CB0EBF">
        <w:rPr>
          <w:rFonts w:ascii="Arial" w:eastAsia="Arial" w:hAnsi="Arial" w:cs="Arial"/>
          <w:color w:val="222222"/>
        </w:rPr>
        <w:t xml:space="preserve"> included in the claim.</w:t>
      </w:r>
    </w:p>
    <w:p w14:paraId="4FE17323" w14:textId="24E33616" w:rsidR="00CB0EBF" w:rsidRDefault="00CB0EBF">
      <w:pPr>
        <w:shd w:val="clear" w:color="auto" w:fill="FFFFFF"/>
        <w:spacing w:before="240" w:after="240"/>
        <w:jc w:val="both"/>
        <w:rPr>
          <w:rFonts w:ascii="Arial" w:eastAsia="Arial" w:hAnsi="Arial" w:cs="Arial"/>
          <w:color w:val="222222"/>
        </w:rPr>
      </w:pPr>
      <w:r>
        <w:rPr>
          <w:rFonts w:ascii="Arial" w:eastAsia="Arial" w:hAnsi="Arial" w:cs="Arial"/>
          <w:color w:val="222222"/>
        </w:rPr>
        <w:t>At the workgroup, stakeholders acknowledged the need to provide documentation, such as invoices and proof of payment, but explained that proof of payment can be more challenging to provide because businesses today make payment through various electronic means that do not result in traditional documentary evidence</w:t>
      </w:r>
      <w:r w:rsidR="008B18D6">
        <w:rPr>
          <w:rFonts w:ascii="Arial" w:eastAsia="Arial" w:hAnsi="Arial" w:cs="Arial"/>
          <w:color w:val="222222"/>
        </w:rPr>
        <w:t>,</w:t>
      </w:r>
      <w:r>
        <w:rPr>
          <w:rFonts w:ascii="Arial" w:eastAsia="Arial" w:hAnsi="Arial" w:cs="Arial"/>
          <w:color w:val="222222"/>
        </w:rPr>
        <w:t xml:space="preserve"> such as a canceled check.</w:t>
      </w:r>
      <w:r w:rsidR="001804AB">
        <w:rPr>
          <w:rFonts w:ascii="Arial" w:eastAsia="Arial" w:hAnsi="Arial" w:cs="Arial"/>
          <w:color w:val="222222"/>
        </w:rPr>
        <w:t xml:space="preserve"> Stakeholders also questioned </w:t>
      </w:r>
      <w:r w:rsidR="007776B9">
        <w:rPr>
          <w:rFonts w:ascii="Arial" w:eastAsia="Arial" w:hAnsi="Arial" w:cs="Arial"/>
          <w:color w:val="222222"/>
        </w:rPr>
        <w:t xml:space="preserve">whether a purchaser should need to provide proof of payment for all of the purchases made from the same seller. </w:t>
      </w:r>
      <w:r w:rsidR="001804AB">
        <w:rPr>
          <w:rFonts w:ascii="Arial" w:eastAsia="Arial" w:hAnsi="Arial" w:cs="Arial"/>
          <w:color w:val="222222"/>
        </w:rPr>
        <w:t xml:space="preserve"> </w:t>
      </w:r>
    </w:p>
    <w:p w14:paraId="2A568A28" w14:textId="5E2A1B9F" w:rsidR="00DA1BD2" w:rsidRDefault="002601AB">
      <w:pPr>
        <w:shd w:val="clear" w:color="auto" w:fill="FFFFFF"/>
        <w:spacing w:before="240" w:after="240"/>
        <w:jc w:val="both"/>
        <w:rPr>
          <w:rFonts w:ascii="Arial" w:eastAsia="Arial" w:hAnsi="Arial" w:cs="Arial"/>
          <w:color w:val="222222"/>
        </w:rPr>
      </w:pPr>
      <w:r>
        <w:rPr>
          <w:rFonts w:ascii="Arial" w:eastAsia="Arial" w:hAnsi="Arial" w:cs="Arial"/>
          <w:color w:val="222222"/>
        </w:rPr>
        <w:t xml:space="preserve">Draft </w:t>
      </w:r>
      <w:r w:rsidRPr="002601AB">
        <w:rPr>
          <w:rFonts w:ascii="Arial" w:eastAsia="Arial" w:hAnsi="Arial" w:cs="Arial"/>
          <w:color w:val="222222"/>
        </w:rPr>
        <w:t>Rule 39-26-703–</w:t>
      </w:r>
      <w:r>
        <w:rPr>
          <w:rFonts w:ascii="Arial" w:eastAsia="Arial" w:hAnsi="Arial" w:cs="Arial"/>
          <w:color w:val="222222"/>
        </w:rPr>
        <w:t>2(</w:t>
      </w:r>
      <w:r w:rsidR="008B18D6">
        <w:rPr>
          <w:rFonts w:ascii="Arial" w:eastAsia="Arial" w:hAnsi="Arial" w:cs="Arial"/>
          <w:color w:val="222222"/>
        </w:rPr>
        <w:t>5</w:t>
      </w:r>
      <w:r>
        <w:rPr>
          <w:rFonts w:ascii="Arial" w:eastAsia="Arial" w:hAnsi="Arial" w:cs="Arial"/>
          <w:color w:val="222222"/>
        </w:rPr>
        <w:t xml:space="preserve">) </w:t>
      </w:r>
      <w:r w:rsidR="00DA1BD2">
        <w:rPr>
          <w:rFonts w:ascii="Arial" w:eastAsia="Arial" w:hAnsi="Arial" w:cs="Arial"/>
          <w:color w:val="222222"/>
        </w:rPr>
        <w:t>substantially reduce</w:t>
      </w:r>
      <w:r w:rsidR="007776B9">
        <w:rPr>
          <w:rFonts w:ascii="Arial" w:eastAsia="Arial" w:hAnsi="Arial" w:cs="Arial"/>
          <w:color w:val="222222"/>
        </w:rPr>
        <w:t>s</w:t>
      </w:r>
      <w:r w:rsidR="00DA1BD2">
        <w:rPr>
          <w:rFonts w:ascii="Arial" w:eastAsia="Arial" w:hAnsi="Arial" w:cs="Arial"/>
          <w:color w:val="222222"/>
        </w:rPr>
        <w:t xml:space="preserve"> proof of payment requirements for claims </w:t>
      </w:r>
      <w:r w:rsidR="002E71E7">
        <w:rPr>
          <w:rFonts w:ascii="Arial" w:eastAsia="Arial" w:hAnsi="Arial" w:cs="Arial"/>
          <w:color w:val="222222"/>
        </w:rPr>
        <w:t>including</w:t>
      </w:r>
      <w:r w:rsidR="00DA1BD2">
        <w:rPr>
          <w:rFonts w:ascii="Arial" w:eastAsia="Arial" w:hAnsi="Arial" w:cs="Arial"/>
          <w:color w:val="222222"/>
        </w:rPr>
        <w:t xml:space="preserve"> more </w:t>
      </w:r>
      <w:r w:rsidR="008B18D6">
        <w:rPr>
          <w:rFonts w:ascii="Arial" w:eastAsia="Arial" w:hAnsi="Arial" w:cs="Arial"/>
          <w:color w:val="222222"/>
        </w:rPr>
        <w:t xml:space="preserve">than 400 </w:t>
      </w:r>
      <w:r w:rsidR="002E71E7">
        <w:rPr>
          <w:rFonts w:ascii="Arial" w:eastAsia="Arial" w:hAnsi="Arial" w:cs="Arial"/>
          <w:color w:val="222222"/>
        </w:rPr>
        <w:t>payments</w:t>
      </w:r>
      <w:r w:rsidR="007776B9">
        <w:rPr>
          <w:rFonts w:ascii="Arial" w:eastAsia="Arial" w:hAnsi="Arial" w:cs="Arial"/>
          <w:color w:val="222222"/>
        </w:rPr>
        <w:t xml:space="preserve"> and establishes a limit with respect to sales transactions included in the refund claim that were from the same seller, occurred during the same month, and qualified for the same exemption type. The draft rule also identifies documentation to provide proof of payment, depending on whether payment was made by check, electronically, or through a payment processing service. Additionally, </w:t>
      </w:r>
      <w:r>
        <w:rPr>
          <w:rFonts w:ascii="Arial" w:eastAsia="Arial" w:hAnsi="Arial" w:cs="Arial"/>
          <w:color w:val="222222"/>
        </w:rPr>
        <w:t xml:space="preserve">draft </w:t>
      </w:r>
      <w:r w:rsidRPr="002601AB">
        <w:rPr>
          <w:rFonts w:ascii="Arial" w:eastAsia="Arial" w:hAnsi="Arial" w:cs="Arial"/>
          <w:color w:val="222222"/>
        </w:rPr>
        <w:t>Rule 39-26-703–</w:t>
      </w:r>
      <w:r>
        <w:rPr>
          <w:rFonts w:ascii="Arial" w:eastAsia="Arial" w:hAnsi="Arial" w:cs="Arial"/>
          <w:color w:val="222222"/>
        </w:rPr>
        <w:t>2(</w:t>
      </w:r>
      <w:r w:rsidR="008B18D6">
        <w:rPr>
          <w:rFonts w:ascii="Arial" w:eastAsia="Arial" w:hAnsi="Arial" w:cs="Arial"/>
          <w:color w:val="222222"/>
        </w:rPr>
        <w:t>4</w:t>
      </w:r>
      <w:r>
        <w:rPr>
          <w:rFonts w:ascii="Arial" w:eastAsia="Arial" w:hAnsi="Arial" w:cs="Arial"/>
          <w:color w:val="222222"/>
        </w:rPr>
        <w:t>)</w:t>
      </w:r>
      <w:r w:rsidR="00DA1BD2">
        <w:rPr>
          <w:rFonts w:ascii="Arial" w:eastAsia="Arial" w:hAnsi="Arial" w:cs="Arial"/>
          <w:color w:val="222222"/>
        </w:rPr>
        <w:t xml:space="preserve"> reduces the </w:t>
      </w:r>
      <w:r w:rsidR="002E71E7">
        <w:rPr>
          <w:rFonts w:ascii="Arial" w:eastAsia="Arial" w:hAnsi="Arial" w:cs="Arial"/>
          <w:color w:val="222222"/>
        </w:rPr>
        <w:t>documentation requirements</w:t>
      </w:r>
      <w:r w:rsidR="00DA1BD2">
        <w:rPr>
          <w:rFonts w:ascii="Arial" w:eastAsia="Arial" w:hAnsi="Arial" w:cs="Arial"/>
          <w:color w:val="222222"/>
        </w:rPr>
        <w:t xml:space="preserve"> for claims </w:t>
      </w:r>
      <w:r w:rsidR="002E71E7">
        <w:rPr>
          <w:rFonts w:ascii="Arial" w:eastAsia="Arial" w:hAnsi="Arial" w:cs="Arial"/>
          <w:color w:val="222222"/>
        </w:rPr>
        <w:t>including</w:t>
      </w:r>
      <w:r w:rsidR="00DA1BD2">
        <w:rPr>
          <w:rFonts w:ascii="Arial" w:eastAsia="Arial" w:hAnsi="Arial" w:cs="Arial"/>
          <w:color w:val="222222"/>
        </w:rPr>
        <w:t xml:space="preserve"> more than </w:t>
      </w:r>
      <w:r w:rsidR="00E2458C">
        <w:rPr>
          <w:rFonts w:ascii="Arial" w:eastAsia="Arial" w:hAnsi="Arial" w:cs="Arial"/>
          <w:color w:val="222222"/>
        </w:rPr>
        <w:t xml:space="preserve">5,000 </w:t>
      </w:r>
      <w:r w:rsidR="002E71E7">
        <w:rPr>
          <w:rFonts w:ascii="Arial" w:eastAsia="Arial" w:hAnsi="Arial" w:cs="Arial"/>
          <w:color w:val="222222"/>
        </w:rPr>
        <w:t>total invoices</w:t>
      </w:r>
      <w:r w:rsidR="00E2458C">
        <w:rPr>
          <w:rFonts w:ascii="Arial" w:eastAsia="Arial" w:hAnsi="Arial" w:cs="Arial"/>
          <w:color w:val="222222"/>
        </w:rPr>
        <w:t xml:space="preserve"> and substantially reduces the </w:t>
      </w:r>
      <w:r w:rsidR="002E71E7">
        <w:rPr>
          <w:rFonts w:ascii="Arial" w:eastAsia="Arial" w:hAnsi="Arial" w:cs="Arial"/>
          <w:color w:val="222222"/>
        </w:rPr>
        <w:t>documentation requirements</w:t>
      </w:r>
      <w:r w:rsidR="00E2458C">
        <w:rPr>
          <w:rFonts w:ascii="Arial" w:eastAsia="Arial" w:hAnsi="Arial" w:cs="Arial"/>
          <w:color w:val="222222"/>
        </w:rPr>
        <w:t xml:space="preserve"> for claims </w:t>
      </w:r>
      <w:r w:rsidR="002E71E7">
        <w:rPr>
          <w:rFonts w:ascii="Arial" w:eastAsia="Arial" w:hAnsi="Arial" w:cs="Arial"/>
          <w:color w:val="222222"/>
        </w:rPr>
        <w:t>including</w:t>
      </w:r>
      <w:r w:rsidR="00E2458C">
        <w:rPr>
          <w:rFonts w:ascii="Arial" w:eastAsia="Arial" w:hAnsi="Arial" w:cs="Arial"/>
          <w:color w:val="222222"/>
        </w:rPr>
        <w:t xml:space="preserve"> more than 10,000 t</w:t>
      </w:r>
      <w:r w:rsidR="002E71E7">
        <w:rPr>
          <w:rFonts w:ascii="Arial" w:eastAsia="Arial" w:hAnsi="Arial" w:cs="Arial"/>
          <w:color w:val="222222"/>
        </w:rPr>
        <w:t>otal invoices</w:t>
      </w:r>
      <w:r w:rsidR="00E2458C">
        <w:rPr>
          <w:rFonts w:ascii="Arial" w:eastAsia="Arial" w:hAnsi="Arial" w:cs="Arial"/>
          <w:color w:val="222222"/>
        </w:rPr>
        <w:t>.</w:t>
      </w:r>
      <w:r w:rsidR="00DB77A7">
        <w:rPr>
          <w:rFonts w:ascii="Arial" w:eastAsia="Arial" w:hAnsi="Arial" w:cs="Arial"/>
          <w:color w:val="222222"/>
        </w:rPr>
        <w:t xml:space="preserve"> </w:t>
      </w:r>
    </w:p>
    <w:p w14:paraId="6F12FF9F" w14:textId="4F90991F" w:rsidR="00E2458C" w:rsidRPr="00D05A8E" w:rsidRDefault="00D05A8E" w:rsidP="00D05A8E">
      <w:pPr>
        <w:shd w:val="clear" w:color="auto" w:fill="FFFFFF"/>
        <w:spacing w:before="240" w:after="240"/>
        <w:jc w:val="center"/>
        <w:rPr>
          <w:rFonts w:ascii="Arial" w:eastAsia="Arial" w:hAnsi="Arial" w:cs="Arial"/>
          <w:b/>
          <w:bCs/>
          <w:color w:val="222222"/>
        </w:rPr>
      </w:pPr>
      <w:r>
        <w:rPr>
          <w:rFonts w:ascii="Arial" w:eastAsia="Arial" w:hAnsi="Arial" w:cs="Arial"/>
          <w:b/>
          <w:bCs/>
          <w:color w:val="222222"/>
        </w:rPr>
        <w:t>Proof of Payment</w:t>
      </w:r>
    </w:p>
    <w:tbl>
      <w:tblPr>
        <w:tblStyle w:val="TableGrid"/>
        <w:tblpPr w:leftFromText="180" w:rightFromText="180" w:vertAnchor="text" w:tblpY="1"/>
        <w:tblOverlap w:val="never"/>
        <w:tblW w:w="0" w:type="auto"/>
        <w:tblLook w:val="04A0" w:firstRow="1" w:lastRow="0" w:firstColumn="1" w:lastColumn="0" w:noHBand="0" w:noVBand="1"/>
      </w:tblPr>
      <w:tblGrid>
        <w:gridCol w:w="3415"/>
        <w:gridCol w:w="5935"/>
      </w:tblGrid>
      <w:tr w:rsidR="00DB77A7" w:rsidRPr="00D05A8E" w14:paraId="5FB1438F" w14:textId="77777777" w:rsidTr="00020432">
        <w:tc>
          <w:tcPr>
            <w:tcW w:w="3415" w:type="dxa"/>
            <w:shd w:val="clear" w:color="auto" w:fill="D9D9D9" w:themeFill="background1" w:themeFillShade="D9"/>
          </w:tcPr>
          <w:p w14:paraId="643A2B24" w14:textId="4E5F671E" w:rsidR="00DB77A7" w:rsidRPr="00D05A8E" w:rsidRDefault="00DB77A7" w:rsidP="00D05A8E">
            <w:pPr>
              <w:spacing w:before="120" w:after="120"/>
              <w:jc w:val="both"/>
              <w:rPr>
                <w:rFonts w:ascii="Arial" w:eastAsia="Arial" w:hAnsi="Arial" w:cs="Arial"/>
                <w:i/>
                <w:iCs/>
                <w:color w:val="222222"/>
              </w:rPr>
            </w:pPr>
            <w:r w:rsidRPr="00D05A8E">
              <w:rPr>
                <w:rFonts w:ascii="Arial" w:eastAsia="Arial" w:hAnsi="Arial" w:cs="Arial"/>
                <w:i/>
                <w:iCs/>
                <w:color w:val="222222"/>
              </w:rPr>
              <w:t>T</w:t>
            </w:r>
            <w:r w:rsidR="00020432">
              <w:rPr>
                <w:rFonts w:ascii="Arial" w:eastAsia="Arial" w:hAnsi="Arial" w:cs="Arial"/>
                <w:i/>
                <w:iCs/>
                <w:color w:val="222222"/>
              </w:rPr>
              <w:t>otal payments</w:t>
            </w:r>
            <w:r w:rsidRPr="00D05A8E">
              <w:rPr>
                <w:rFonts w:ascii="Arial" w:eastAsia="Arial" w:hAnsi="Arial" w:cs="Arial"/>
                <w:i/>
                <w:iCs/>
                <w:color w:val="222222"/>
              </w:rPr>
              <w:t xml:space="preserve"> included in the claim</w:t>
            </w:r>
          </w:p>
        </w:tc>
        <w:tc>
          <w:tcPr>
            <w:tcW w:w="5935" w:type="dxa"/>
            <w:shd w:val="clear" w:color="auto" w:fill="D9D9D9" w:themeFill="background1" w:themeFillShade="D9"/>
          </w:tcPr>
          <w:p w14:paraId="2695E650" w14:textId="77777777" w:rsidR="00DB77A7" w:rsidRPr="00D05A8E" w:rsidRDefault="00DB77A7" w:rsidP="00D05A8E">
            <w:pPr>
              <w:spacing w:before="120" w:after="120"/>
              <w:jc w:val="both"/>
              <w:rPr>
                <w:rFonts w:ascii="Arial" w:eastAsia="Arial" w:hAnsi="Arial" w:cs="Arial"/>
                <w:i/>
                <w:iCs/>
                <w:color w:val="222222"/>
              </w:rPr>
            </w:pPr>
            <w:r w:rsidRPr="00D05A8E">
              <w:rPr>
                <w:rFonts w:ascii="Arial" w:eastAsia="Arial" w:hAnsi="Arial" w:cs="Arial"/>
                <w:i/>
                <w:iCs/>
                <w:color w:val="222222"/>
              </w:rPr>
              <w:t>Submission requirement</w:t>
            </w:r>
          </w:p>
        </w:tc>
      </w:tr>
      <w:tr w:rsidR="00DB77A7" w14:paraId="0E3641E2" w14:textId="77777777" w:rsidTr="00020432">
        <w:tc>
          <w:tcPr>
            <w:tcW w:w="3415" w:type="dxa"/>
          </w:tcPr>
          <w:p w14:paraId="2E799D24" w14:textId="77777777" w:rsidR="00DB77A7" w:rsidRDefault="00DB77A7" w:rsidP="00D05A8E">
            <w:pPr>
              <w:spacing w:before="120" w:after="120"/>
              <w:jc w:val="both"/>
              <w:rPr>
                <w:rFonts w:ascii="Arial" w:eastAsia="Arial" w:hAnsi="Arial" w:cs="Arial"/>
                <w:color w:val="222222"/>
              </w:rPr>
            </w:pPr>
            <w:r>
              <w:rPr>
                <w:rFonts w:ascii="Arial" w:eastAsia="Arial" w:hAnsi="Arial" w:cs="Arial"/>
                <w:color w:val="222222"/>
              </w:rPr>
              <w:t>100 or fewer</w:t>
            </w:r>
          </w:p>
        </w:tc>
        <w:tc>
          <w:tcPr>
            <w:tcW w:w="5935" w:type="dxa"/>
          </w:tcPr>
          <w:p w14:paraId="0A8E3FE7" w14:textId="41E6A746" w:rsidR="00DB77A7" w:rsidRDefault="00DB77A7" w:rsidP="00D05A8E">
            <w:pPr>
              <w:spacing w:before="120" w:after="120"/>
              <w:jc w:val="both"/>
              <w:rPr>
                <w:rFonts w:ascii="Arial" w:eastAsia="Arial" w:hAnsi="Arial" w:cs="Arial"/>
                <w:color w:val="222222"/>
              </w:rPr>
            </w:pPr>
            <w:r>
              <w:rPr>
                <w:rFonts w:ascii="Arial" w:eastAsia="Arial" w:hAnsi="Arial" w:cs="Arial"/>
                <w:color w:val="222222"/>
              </w:rPr>
              <w:t xml:space="preserve">Proof of payment for all </w:t>
            </w:r>
            <w:r w:rsidR="002E71E7">
              <w:rPr>
                <w:rFonts w:ascii="Arial" w:eastAsia="Arial" w:hAnsi="Arial" w:cs="Arial"/>
                <w:color w:val="222222"/>
              </w:rPr>
              <w:t>payments</w:t>
            </w:r>
            <w:r>
              <w:rPr>
                <w:rFonts w:ascii="Arial" w:eastAsia="Arial" w:hAnsi="Arial" w:cs="Arial"/>
                <w:color w:val="222222"/>
              </w:rPr>
              <w:t xml:space="preserve"> included in the claim</w:t>
            </w:r>
          </w:p>
        </w:tc>
      </w:tr>
      <w:tr w:rsidR="00DB77A7" w14:paraId="7B9B1174" w14:textId="77777777" w:rsidTr="00020432">
        <w:tc>
          <w:tcPr>
            <w:tcW w:w="3415" w:type="dxa"/>
          </w:tcPr>
          <w:p w14:paraId="65133AEC" w14:textId="62BDB334" w:rsidR="00DB77A7" w:rsidRDefault="00DB77A7" w:rsidP="00D05A8E">
            <w:pPr>
              <w:spacing w:before="120" w:after="120"/>
              <w:jc w:val="both"/>
              <w:rPr>
                <w:rFonts w:ascii="Arial" w:eastAsia="Arial" w:hAnsi="Arial" w:cs="Arial"/>
                <w:color w:val="222222"/>
              </w:rPr>
            </w:pPr>
            <w:r>
              <w:rPr>
                <w:rFonts w:ascii="Arial" w:eastAsia="Arial" w:hAnsi="Arial" w:cs="Arial"/>
                <w:color w:val="222222"/>
              </w:rPr>
              <w:t>More than 100</w:t>
            </w:r>
          </w:p>
        </w:tc>
        <w:tc>
          <w:tcPr>
            <w:tcW w:w="5935" w:type="dxa"/>
          </w:tcPr>
          <w:p w14:paraId="2DC8636D" w14:textId="5796EF91" w:rsidR="00DB77A7" w:rsidRDefault="00DB77A7" w:rsidP="00D05A8E">
            <w:pPr>
              <w:spacing w:before="120" w:after="120"/>
              <w:jc w:val="both"/>
              <w:rPr>
                <w:rFonts w:ascii="Arial" w:eastAsia="Arial" w:hAnsi="Arial" w:cs="Arial"/>
                <w:color w:val="222222"/>
              </w:rPr>
            </w:pPr>
            <w:r>
              <w:rPr>
                <w:rFonts w:ascii="Arial" w:eastAsia="Arial" w:hAnsi="Arial" w:cs="Arial"/>
                <w:color w:val="222222"/>
              </w:rPr>
              <w:t xml:space="preserve">Proof of payment for 100 </w:t>
            </w:r>
            <w:r w:rsidR="00020432">
              <w:rPr>
                <w:rFonts w:ascii="Arial" w:eastAsia="Arial" w:hAnsi="Arial" w:cs="Arial"/>
                <w:color w:val="222222"/>
              </w:rPr>
              <w:t>payments</w:t>
            </w:r>
            <w:r>
              <w:rPr>
                <w:rFonts w:ascii="Arial" w:eastAsia="Arial" w:hAnsi="Arial" w:cs="Arial"/>
                <w:color w:val="222222"/>
              </w:rPr>
              <w:t xml:space="preserve"> plus 0.2% of the </w:t>
            </w:r>
            <w:r w:rsidR="00020432">
              <w:rPr>
                <w:rFonts w:ascii="Arial" w:eastAsia="Arial" w:hAnsi="Arial" w:cs="Arial"/>
                <w:color w:val="222222"/>
              </w:rPr>
              <w:t>total payments</w:t>
            </w:r>
            <w:r>
              <w:rPr>
                <w:rFonts w:ascii="Arial" w:eastAsia="Arial" w:hAnsi="Arial" w:cs="Arial"/>
                <w:color w:val="222222"/>
              </w:rPr>
              <w:t xml:space="preserve"> included in the claim in excess of 100 </w:t>
            </w:r>
            <w:r w:rsidR="00020432">
              <w:rPr>
                <w:rFonts w:ascii="Arial" w:eastAsia="Arial" w:hAnsi="Arial" w:cs="Arial"/>
                <w:color w:val="222222"/>
              </w:rPr>
              <w:t>payments</w:t>
            </w:r>
          </w:p>
        </w:tc>
      </w:tr>
    </w:tbl>
    <w:p w14:paraId="79512704" w14:textId="09E01EB9" w:rsidR="00E2458C" w:rsidRDefault="00D05A8E" w:rsidP="00D05A8E">
      <w:pPr>
        <w:shd w:val="clear" w:color="auto" w:fill="FFFFFF"/>
        <w:spacing w:before="240" w:after="240"/>
        <w:jc w:val="center"/>
        <w:rPr>
          <w:rFonts w:ascii="Arial" w:eastAsia="Arial" w:hAnsi="Arial" w:cs="Arial"/>
          <w:color w:val="222222"/>
        </w:rPr>
      </w:pPr>
      <w:r>
        <w:rPr>
          <w:rFonts w:ascii="Arial" w:eastAsia="Arial" w:hAnsi="Arial" w:cs="Arial"/>
          <w:b/>
          <w:bCs/>
          <w:color w:val="222222"/>
        </w:rPr>
        <w:t>Invoices</w:t>
      </w:r>
    </w:p>
    <w:tbl>
      <w:tblPr>
        <w:tblStyle w:val="TableGrid"/>
        <w:tblpPr w:leftFromText="180" w:rightFromText="180" w:vertAnchor="text" w:tblpY="1"/>
        <w:tblOverlap w:val="never"/>
        <w:tblW w:w="0" w:type="auto"/>
        <w:tblLook w:val="04A0" w:firstRow="1" w:lastRow="0" w:firstColumn="1" w:lastColumn="0" w:noHBand="0" w:noVBand="1"/>
      </w:tblPr>
      <w:tblGrid>
        <w:gridCol w:w="3325"/>
        <w:gridCol w:w="6025"/>
      </w:tblGrid>
      <w:tr w:rsidR="00E2458C" w:rsidRPr="00D05A8E" w14:paraId="1F63BAAF" w14:textId="77777777" w:rsidTr="00D05A8E">
        <w:tc>
          <w:tcPr>
            <w:tcW w:w="3325" w:type="dxa"/>
            <w:shd w:val="clear" w:color="auto" w:fill="D9D9D9" w:themeFill="background1" w:themeFillShade="D9"/>
          </w:tcPr>
          <w:p w14:paraId="59A62253" w14:textId="2E8F0C7A" w:rsidR="00E2458C" w:rsidRPr="00D05A8E" w:rsidRDefault="00020432" w:rsidP="00D05A8E">
            <w:pPr>
              <w:spacing w:before="120" w:after="120"/>
              <w:jc w:val="both"/>
              <w:rPr>
                <w:rFonts w:ascii="Arial" w:eastAsia="Arial" w:hAnsi="Arial" w:cs="Arial"/>
                <w:i/>
                <w:iCs/>
                <w:color w:val="222222"/>
              </w:rPr>
            </w:pPr>
            <w:r>
              <w:rPr>
                <w:rFonts w:ascii="Arial" w:eastAsia="Arial" w:hAnsi="Arial" w:cs="Arial"/>
                <w:i/>
                <w:iCs/>
                <w:color w:val="222222"/>
              </w:rPr>
              <w:t>Invoices</w:t>
            </w:r>
            <w:r w:rsidR="00E2458C" w:rsidRPr="00D05A8E">
              <w:rPr>
                <w:rFonts w:ascii="Arial" w:eastAsia="Arial" w:hAnsi="Arial" w:cs="Arial"/>
                <w:i/>
                <w:iCs/>
                <w:color w:val="222222"/>
              </w:rPr>
              <w:t xml:space="preserve"> included in the claim</w:t>
            </w:r>
          </w:p>
        </w:tc>
        <w:tc>
          <w:tcPr>
            <w:tcW w:w="6025" w:type="dxa"/>
            <w:shd w:val="clear" w:color="auto" w:fill="D9D9D9" w:themeFill="background1" w:themeFillShade="D9"/>
          </w:tcPr>
          <w:p w14:paraId="557FB586" w14:textId="191A473F" w:rsidR="00E2458C" w:rsidRPr="00D05A8E" w:rsidRDefault="00E2458C" w:rsidP="00D05A8E">
            <w:pPr>
              <w:spacing w:before="120" w:after="120"/>
              <w:jc w:val="both"/>
              <w:rPr>
                <w:rFonts w:ascii="Arial" w:eastAsia="Arial" w:hAnsi="Arial" w:cs="Arial"/>
                <w:i/>
                <w:iCs/>
                <w:color w:val="222222"/>
              </w:rPr>
            </w:pPr>
            <w:r w:rsidRPr="00D05A8E">
              <w:rPr>
                <w:rFonts w:ascii="Arial" w:eastAsia="Arial" w:hAnsi="Arial" w:cs="Arial"/>
                <w:i/>
                <w:iCs/>
                <w:color w:val="222222"/>
              </w:rPr>
              <w:t>Submission requirement</w:t>
            </w:r>
          </w:p>
        </w:tc>
      </w:tr>
      <w:tr w:rsidR="00E2458C" w14:paraId="26493F69" w14:textId="77777777" w:rsidTr="00E2458C">
        <w:tc>
          <w:tcPr>
            <w:tcW w:w="3325" w:type="dxa"/>
          </w:tcPr>
          <w:p w14:paraId="4FFD9FB8" w14:textId="0896C8E9" w:rsidR="00E2458C" w:rsidRDefault="00E2458C" w:rsidP="00D05A8E">
            <w:pPr>
              <w:spacing w:before="120" w:after="120"/>
              <w:jc w:val="both"/>
              <w:rPr>
                <w:rFonts w:ascii="Arial" w:eastAsia="Arial" w:hAnsi="Arial" w:cs="Arial"/>
                <w:color w:val="222222"/>
              </w:rPr>
            </w:pPr>
            <w:r>
              <w:rPr>
                <w:rFonts w:ascii="Arial" w:eastAsia="Arial" w:hAnsi="Arial" w:cs="Arial"/>
                <w:color w:val="222222"/>
              </w:rPr>
              <w:t>100 or fewer</w:t>
            </w:r>
          </w:p>
        </w:tc>
        <w:tc>
          <w:tcPr>
            <w:tcW w:w="6025" w:type="dxa"/>
          </w:tcPr>
          <w:p w14:paraId="4FE52F02" w14:textId="1C1E8D5D" w:rsidR="00E2458C" w:rsidRDefault="00020432" w:rsidP="00D05A8E">
            <w:pPr>
              <w:spacing w:before="120" w:after="120"/>
              <w:jc w:val="both"/>
              <w:rPr>
                <w:rFonts w:ascii="Arial" w:eastAsia="Arial" w:hAnsi="Arial" w:cs="Arial"/>
                <w:color w:val="222222"/>
              </w:rPr>
            </w:pPr>
            <w:r>
              <w:rPr>
                <w:rFonts w:ascii="Arial" w:eastAsia="Arial" w:hAnsi="Arial" w:cs="Arial"/>
                <w:color w:val="222222"/>
              </w:rPr>
              <w:t>All i</w:t>
            </w:r>
            <w:r w:rsidR="00E2458C">
              <w:rPr>
                <w:rFonts w:ascii="Arial" w:eastAsia="Arial" w:hAnsi="Arial" w:cs="Arial"/>
                <w:color w:val="222222"/>
              </w:rPr>
              <w:t>nvoices included in the claim</w:t>
            </w:r>
          </w:p>
        </w:tc>
      </w:tr>
      <w:tr w:rsidR="00E2458C" w14:paraId="0A581340" w14:textId="77777777" w:rsidTr="00E2458C">
        <w:tc>
          <w:tcPr>
            <w:tcW w:w="3325" w:type="dxa"/>
          </w:tcPr>
          <w:p w14:paraId="63127742" w14:textId="2E5D2346" w:rsidR="00E2458C" w:rsidRDefault="00E2458C" w:rsidP="00D05A8E">
            <w:pPr>
              <w:spacing w:before="120" w:after="120"/>
              <w:jc w:val="both"/>
              <w:rPr>
                <w:rFonts w:ascii="Arial" w:eastAsia="Arial" w:hAnsi="Arial" w:cs="Arial"/>
                <w:color w:val="222222"/>
              </w:rPr>
            </w:pPr>
            <w:r>
              <w:rPr>
                <w:rFonts w:ascii="Arial" w:eastAsia="Arial" w:hAnsi="Arial" w:cs="Arial"/>
                <w:color w:val="222222"/>
              </w:rPr>
              <w:t>More than 100, but fewer than 5,000</w:t>
            </w:r>
          </w:p>
        </w:tc>
        <w:tc>
          <w:tcPr>
            <w:tcW w:w="6025" w:type="dxa"/>
          </w:tcPr>
          <w:p w14:paraId="56761031" w14:textId="751ECD06" w:rsidR="00E2458C" w:rsidRDefault="00E2458C" w:rsidP="00D05A8E">
            <w:pPr>
              <w:spacing w:before="120" w:after="120"/>
              <w:jc w:val="both"/>
              <w:rPr>
                <w:rFonts w:ascii="Arial" w:eastAsia="Arial" w:hAnsi="Arial" w:cs="Arial"/>
                <w:color w:val="222222"/>
              </w:rPr>
            </w:pPr>
            <w:r>
              <w:rPr>
                <w:rFonts w:ascii="Arial" w:eastAsia="Arial" w:hAnsi="Arial" w:cs="Arial"/>
                <w:color w:val="222222"/>
              </w:rPr>
              <w:t xml:space="preserve">100 invoices plus 25% of the </w:t>
            </w:r>
            <w:r w:rsidR="00020432">
              <w:rPr>
                <w:rFonts w:ascii="Arial" w:eastAsia="Arial" w:hAnsi="Arial" w:cs="Arial"/>
                <w:color w:val="222222"/>
              </w:rPr>
              <w:t>total invoices</w:t>
            </w:r>
            <w:r>
              <w:rPr>
                <w:rFonts w:ascii="Arial" w:eastAsia="Arial" w:hAnsi="Arial" w:cs="Arial"/>
                <w:color w:val="222222"/>
              </w:rPr>
              <w:t xml:space="preserve"> included in the claim in excess of 100 </w:t>
            </w:r>
            <w:r w:rsidR="00020432">
              <w:rPr>
                <w:rFonts w:ascii="Arial" w:eastAsia="Arial" w:hAnsi="Arial" w:cs="Arial"/>
                <w:color w:val="222222"/>
              </w:rPr>
              <w:t>invoices</w:t>
            </w:r>
          </w:p>
        </w:tc>
      </w:tr>
      <w:tr w:rsidR="00E2458C" w14:paraId="5C670374" w14:textId="77777777" w:rsidTr="00E2458C">
        <w:tc>
          <w:tcPr>
            <w:tcW w:w="3325" w:type="dxa"/>
          </w:tcPr>
          <w:p w14:paraId="6FE743DB" w14:textId="7999CECF" w:rsidR="00E2458C" w:rsidRDefault="00E2458C" w:rsidP="00D05A8E">
            <w:pPr>
              <w:spacing w:before="120" w:after="120"/>
              <w:jc w:val="both"/>
              <w:rPr>
                <w:rFonts w:ascii="Arial" w:eastAsia="Arial" w:hAnsi="Arial" w:cs="Arial"/>
                <w:color w:val="222222"/>
              </w:rPr>
            </w:pPr>
            <w:r>
              <w:rPr>
                <w:rFonts w:ascii="Arial" w:eastAsia="Arial" w:hAnsi="Arial" w:cs="Arial"/>
                <w:color w:val="222222"/>
              </w:rPr>
              <w:t>More than 5,000, but fewer than 10,000</w:t>
            </w:r>
          </w:p>
        </w:tc>
        <w:tc>
          <w:tcPr>
            <w:tcW w:w="6025" w:type="dxa"/>
          </w:tcPr>
          <w:p w14:paraId="16231EF3" w14:textId="63BE5CF8" w:rsidR="00E2458C" w:rsidRDefault="00E2458C" w:rsidP="00D05A8E">
            <w:pPr>
              <w:spacing w:before="120" w:after="120"/>
              <w:jc w:val="both"/>
              <w:rPr>
                <w:rFonts w:ascii="Arial" w:eastAsia="Arial" w:hAnsi="Arial" w:cs="Arial"/>
                <w:color w:val="222222"/>
              </w:rPr>
            </w:pPr>
            <w:r>
              <w:rPr>
                <w:rFonts w:ascii="Arial" w:eastAsia="Arial" w:hAnsi="Arial" w:cs="Arial"/>
                <w:color w:val="222222"/>
              </w:rPr>
              <w:t xml:space="preserve">1,325 invoices plus 20% of the </w:t>
            </w:r>
            <w:r w:rsidR="00020432">
              <w:rPr>
                <w:rFonts w:ascii="Arial" w:eastAsia="Arial" w:hAnsi="Arial" w:cs="Arial"/>
                <w:color w:val="222222"/>
              </w:rPr>
              <w:t>total invoices</w:t>
            </w:r>
            <w:r>
              <w:rPr>
                <w:rFonts w:ascii="Arial" w:eastAsia="Arial" w:hAnsi="Arial" w:cs="Arial"/>
                <w:color w:val="222222"/>
              </w:rPr>
              <w:t xml:space="preserve"> included in the claim in excess of 5,000 </w:t>
            </w:r>
            <w:r w:rsidR="00020432">
              <w:rPr>
                <w:rFonts w:ascii="Arial" w:eastAsia="Arial" w:hAnsi="Arial" w:cs="Arial"/>
                <w:color w:val="222222"/>
              </w:rPr>
              <w:t>invoices</w:t>
            </w:r>
          </w:p>
        </w:tc>
      </w:tr>
      <w:tr w:rsidR="00E2458C" w14:paraId="3600D5A2" w14:textId="77777777" w:rsidTr="00E2458C">
        <w:tc>
          <w:tcPr>
            <w:tcW w:w="3325" w:type="dxa"/>
          </w:tcPr>
          <w:p w14:paraId="76FC554D" w14:textId="5841021D" w:rsidR="00E2458C" w:rsidRDefault="00E2458C" w:rsidP="00D05A8E">
            <w:pPr>
              <w:spacing w:before="120" w:after="120"/>
              <w:jc w:val="both"/>
              <w:rPr>
                <w:rFonts w:ascii="Arial" w:eastAsia="Arial" w:hAnsi="Arial" w:cs="Arial"/>
                <w:color w:val="222222"/>
              </w:rPr>
            </w:pPr>
            <w:r>
              <w:rPr>
                <w:rFonts w:ascii="Arial" w:eastAsia="Arial" w:hAnsi="Arial" w:cs="Arial"/>
                <w:color w:val="222222"/>
              </w:rPr>
              <w:t>More than 10,000</w:t>
            </w:r>
          </w:p>
        </w:tc>
        <w:tc>
          <w:tcPr>
            <w:tcW w:w="6025" w:type="dxa"/>
          </w:tcPr>
          <w:p w14:paraId="496154D9" w14:textId="1B9F444F" w:rsidR="00E2458C" w:rsidRDefault="00E2458C" w:rsidP="00D05A8E">
            <w:pPr>
              <w:spacing w:before="120" w:after="120"/>
              <w:jc w:val="both"/>
              <w:rPr>
                <w:rFonts w:ascii="Arial" w:eastAsia="Arial" w:hAnsi="Arial" w:cs="Arial"/>
                <w:color w:val="222222"/>
              </w:rPr>
            </w:pPr>
            <w:r>
              <w:rPr>
                <w:rFonts w:ascii="Arial" w:eastAsia="Arial" w:hAnsi="Arial" w:cs="Arial"/>
                <w:color w:val="222222"/>
              </w:rPr>
              <w:t xml:space="preserve">2,325 invoices plus 2.5% of the </w:t>
            </w:r>
            <w:r w:rsidR="00020432">
              <w:rPr>
                <w:rFonts w:ascii="Arial" w:eastAsia="Arial" w:hAnsi="Arial" w:cs="Arial"/>
                <w:color w:val="222222"/>
              </w:rPr>
              <w:t>total invoices</w:t>
            </w:r>
            <w:r>
              <w:rPr>
                <w:rFonts w:ascii="Arial" w:eastAsia="Arial" w:hAnsi="Arial" w:cs="Arial"/>
                <w:color w:val="222222"/>
              </w:rPr>
              <w:t xml:space="preserve"> included in the claim in excess of 10,000 </w:t>
            </w:r>
            <w:r w:rsidR="00020432">
              <w:rPr>
                <w:rFonts w:ascii="Arial" w:eastAsia="Arial" w:hAnsi="Arial" w:cs="Arial"/>
                <w:color w:val="222222"/>
              </w:rPr>
              <w:t>invoices</w:t>
            </w:r>
          </w:p>
        </w:tc>
      </w:tr>
    </w:tbl>
    <w:p w14:paraId="07CE0EEA" w14:textId="77777777" w:rsidR="005D2096" w:rsidRDefault="005D2096" w:rsidP="00567D10">
      <w:pPr>
        <w:shd w:val="clear" w:color="auto" w:fill="FFFFFF"/>
        <w:spacing w:before="240" w:after="240"/>
        <w:jc w:val="center"/>
        <w:rPr>
          <w:rFonts w:ascii="Arial" w:eastAsia="Arial" w:hAnsi="Arial" w:cs="Arial"/>
          <w:b/>
          <w:bCs/>
          <w:i/>
          <w:iCs/>
          <w:color w:val="222222"/>
          <w:u w:val="single"/>
        </w:rPr>
      </w:pPr>
      <w:r>
        <w:rPr>
          <w:rFonts w:ascii="Arial" w:eastAsia="Arial" w:hAnsi="Arial" w:cs="Arial"/>
          <w:b/>
          <w:bCs/>
          <w:i/>
          <w:iCs/>
          <w:color w:val="222222"/>
          <w:u w:val="single"/>
        </w:rPr>
        <w:br w:type="page"/>
      </w:r>
    </w:p>
    <w:p w14:paraId="150E8D6F" w14:textId="0BCE638F" w:rsidR="00567D10" w:rsidRPr="00567D10" w:rsidRDefault="00567D10" w:rsidP="00567D10">
      <w:pPr>
        <w:shd w:val="clear" w:color="auto" w:fill="FFFFFF"/>
        <w:spacing w:before="240" w:after="240"/>
        <w:jc w:val="center"/>
        <w:rPr>
          <w:rFonts w:ascii="Arial" w:eastAsia="Arial" w:hAnsi="Arial" w:cs="Arial"/>
          <w:b/>
          <w:bCs/>
          <w:i/>
          <w:iCs/>
          <w:color w:val="222222"/>
          <w:u w:val="single"/>
        </w:rPr>
      </w:pPr>
      <w:r>
        <w:rPr>
          <w:rFonts w:ascii="Arial" w:eastAsia="Arial" w:hAnsi="Arial" w:cs="Arial"/>
          <w:b/>
          <w:bCs/>
          <w:i/>
          <w:iCs/>
          <w:color w:val="222222"/>
          <w:u w:val="single"/>
        </w:rPr>
        <w:lastRenderedPageBreak/>
        <w:t>Penalty Assessment</w:t>
      </w:r>
    </w:p>
    <w:p w14:paraId="69CD5253" w14:textId="4067F170" w:rsidR="007D00DD" w:rsidRDefault="00F56382">
      <w:pPr>
        <w:shd w:val="clear" w:color="auto" w:fill="FFFFFF"/>
        <w:spacing w:before="240" w:after="240"/>
        <w:jc w:val="both"/>
        <w:rPr>
          <w:rFonts w:ascii="Arial" w:eastAsia="Arial" w:hAnsi="Arial" w:cs="Arial"/>
          <w:color w:val="222222"/>
        </w:rPr>
      </w:pPr>
      <w:r>
        <w:rPr>
          <w:rFonts w:ascii="Arial" w:eastAsia="Arial" w:hAnsi="Arial" w:cs="Arial"/>
          <w:color w:val="222222"/>
        </w:rPr>
        <w:t xml:space="preserve">At the workgroup, stakeholders requested additional guidance regarding the penalty imposed for incomplete claims. </w:t>
      </w:r>
      <w:r w:rsidR="008B711D">
        <w:rPr>
          <w:rFonts w:ascii="Arial" w:eastAsia="Arial" w:hAnsi="Arial" w:cs="Arial"/>
          <w:color w:val="222222"/>
        </w:rPr>
        <w:t>D</w:t>
      </w:r>
      <w:r w:rsidR="002601AB">
        <w:rPr>
          <w:rFonts w:ascii="Arial" w:eastAsia="Arial" w:hAnsi="Arial" w:cs="Arial"/>
          <w:color w:val="222222"/>
        </w:rPr>
        <w:t xml:space="preserve">raft </w:t>
      </w:r>
      <w:r w:rsidR="002601AB" w:rsidRPr="002601AB">
        <w:rPr>
          <w:rFonts w:ascii="Arial" w:eastAsia="Arial" w:hAnsi="Arial" w:cs="Arial"/>
          <w:color w:val="222222"/>
        </w:rPr>
        <w:t>Rule 39-26-703–</w:t>
      </w:r>
      <w:r w:rsidR="002601AB">
        <w:rPr>
          <w:rFonts w:ascii="Arial" w:eastAsia="Arial" w:hAnsi="Arial" w:cs="Arial"/>
          <w:color w:val="222222"/>
        </w:rPr>
        <w:t>2</w:t>
      </w:r>
      <w:r>
        <w:rPr>
          <w:rFonts w:ascii="Arial" w:eastAsia="Arial" w:hAnsi="Arial" w:cs="Arial"/>
          <w:color w:val="222222"/>
        </w:rPr>
        <w:t>(</w:t>
      </w:r>
      <w:r w:rsidR="008B711D">
        <w:rPr>
          <w:rFonts w:ascii="Arial" w:eastAsia="Arial" w:hAnsi="Arial" w:cs="Arial"/>
          <w:color w:val="222222"/>
        </w:rPr>
        <w:t>8</w:t>
      </w:r>
      <w:r>
        <w:rPr>
          <w:rFonts w:ascii="Arial" w:eastAsia="Arial" w:hAnsi="Arial" w:cs="Arial"/>
          <w:color w:val="222222"/>
        </w:rPr>
        <w:t xml:space="preserve">) </w:t>
      </w:r>
      <w:r w:rsidR="00557AB4">
        <w:rPr>
          <w:rFonts w:ascii="Arial" w:eastAsia="Arial" w:hAnsi="Arial" w:cs="Arial"/>
          <w:color w:val="222222"/>
        </w:rPr>
        <w:t>provides clarification regarding the penalty.</w:t>
      </w:r>
      <w:r w:rsidR="00912E41">
        <w:rPr>
          <w:rFonts w:ascii="Arial" w:eastAsia="Arial" w:hAnsi="Arial" w:cs="Arial"/>
          <w:color w:val="222222"/>
        </w:rPr>
        <w:t xml:space="preserve"> </w:t>
      </w:r>
      <w:r w:rsidR="00961199">
        <w:rPr>
          <w:rFonts w:ascii="Arial" w:eastAsia="Arial" w:hAnsi="Arial" w:cs="Arial"/>
          <w:color w:val="222222"/>
        </w:rPr>
        <w:t>A</w:t>
      </w:r>
      <w:r w:rsidR="00912E41">
        <w:rPr>
          <w:rFonts w:ascii="Arial" w:eastAsia="Arial" w:hAnsi="Arial" w:cs="Arial"/>
          <w:color w:val="222222"/>
        </w:rPr>
        <w:t xml:space="preserve"> refund claim </w:t>
      </w:r>
      <w:r w:rsidR="00961199">
        <w:rPr>
          <w:rFonts w:ascii="Arial" w:eastAsia="Arial" w:hAnsi="Arial" w:cs="Arial"/>
          <w:color w:val="222222"/>
        </w:rPr>
        <w:t xml:space="preserve">is incomplete if it </w:t>
      </w:r>
      <w:r w:rsidR="00912E41">
        <w:rPr>
          <w:rFonts w:ascii="Arial" w:eastAsia="Arial" w:hAnsi="Arial" w:cs="Arial"/>
          <w:color w:val="222222"/>
        </w:rPr>
        <w:t xml:space="preserve">does not include both a completed </w:t>
      </w:r>
      <w:r w:rsidR="00912E41" w:rsidRPr="00912E41">
        <w:rPr>
          <w:rFonts w:ascii="Arial" w:eastAsia="Arial" w:hAnsi="Arial" w:cs="Arial"/>
          <w:color w:val="222222"/>
        </w:rPr>
        <w:t>Department form DR 0137B, Claim for Refund of Tax Paid to Vendors</w:t>
      </w:r>
      <w:r w:rsidR="00961199">
        <w:rPr>
          <w:rFonts w:ascii="Arial" w:eastAsia="Arial" w:hAnsi="Arial" w:cs="Arial"/>
          <w:color w:val="222222"/>
        </w:rPr>
        <w:t xml:space="preserve">, and </w:t>
      </w:r>
      <w:r w:rsidR="00961199" w:rsidRPr="00961199">
        <w:rPr>
          <w:rFonts w:ascii="Arial" w:eastAsia="Arial" w:hAnsi="Arial" w:cs="Arial"/>
          <w:color w:val="222222"/>
        </w:rPr>
        <w:t xml:space="preserve">substantially all of the </w:t>
      </w:r>
      <w:r w:rsidR="00961199">
        <w:rPr>
          <w:rFonts w:ascii="Arial" w:eastAsia="Arial" w:hAnsi="Arial" w:cs="Arial"/>
          <w:color w:val="222222"/>
        </w:rPr>
        <w:t xml:space="preserve">required </w:t>
      </w:r>
      <w:r w:rsidR="00961199" w:rsidRPr="00961199">
        <w:rPr>
          <w:rFonts w:ascii="Arial" w:eastAsia="Arial" w:hAnsi="Arial" w:cs="Arial"/>
          <w:color w:val="222222"/>
        </w:rPr>
        <w:t>pertinent data, information, and documentation</w:t>
      </w:r>
      <w:r w:rsidR="00961199">
        <w:rPr>
          <w:rFonts w:ascii="Arial" w:eastAsia="Arial" w:hAnsi="Arial" w:cs="Arial"/>
          <w:color w:val="222222"/>
        </w:rPr>
        <w:t>. If a refund claim appears to be incomplete, the Department will notify the refund applicant, who must within 60 days either provide the missing data, information, and documentation, demonstrate why the claim is not incomplete, or withdraw the claim. If the refund applicant does not either provide the missing data, information, demonstrate the completeness of the claim, or withdraw the claim within the time provided, the penalty will be assessed.</w:t>
      </w:r>
    </w:p>
    <w:p w14:paraId="538EC0D9" w14:textId="40263272" w:rsidR="007D00DD" w:rsidRPr="00567D10" w:rsidRDefault="007D00DD" w:rsidP="007D00DD">
      <w:pPr>
        <w:shd w:val="clear" w:color="auto" w:fill="FFFFFF"/>
        <w:spacing w:before="240" w:after="240"/>
        <w:jc w:val="center"/>
        <w:rPr>
          <w:rFonts w:ascii="Arial" w:eastAsia="Arial" w:hAnsi="Arial" w:cs="Arial"/>
          <w:b/>
          <w:bCs/>
          <w:i/>
          <w:iCs/>
          <w:color w:val="222222"/>
          <w:u w:val="single"/>
        </w:rPr>
      </w:pPr>
      <w:r>
        <w:rPr>
          <w:rFonts w:ascii="Arial" w:eastAsia="Arial" w:hAnsi="Arial" w:cs="Arial"/>
          <w:b/>
          <w:bCs/>
          <w:i/>
          <w:iCs/>
          <w:color w:val="222222"/>
          <w:u w:val="single"/>
        </w:rPr>
        <w:t>Protective Claims</w:t>
      </w:r>
    </w:p>
    <w:p w14:paraId="209508B3" w14:textId="7750382D" w:rsidR="00F65325" w:rsidRDefault="00961199">
      <w:pPr>
        <w:shd w:val="clear" w:color="auto" w:fill="FFFFFF"/>
        <w:spacing w:before="240" w:after="240"/>
        <w:jc w:val="both"/>
        <w:rPr>
          <w:rFonts w:ascii="Arial" w:eastAsia="Arial" w:hAnsi="Arial" w:cs="Arial"/>
          <w:color w:val="222222"/>
        </w:rPr>
      </w:pPr>
      <w:r>
        <w:rPr>
          <w:rFonts w:ascii="Arial" w:eastAsia="Arial" w:hAnsi="Arial" w:cs="Arial"/>
          <w:color w:val="222222"/>
        </w:rPr>
        <w:t xml:space="preserve">House Bill 22-1118 enacted </w:t>
      </w:r>
      <w:r w:rsidR="002601AB">
        <w:rPr>
          <w:rFonts w:ascii="Arial" w:eastAsia="Arial" w:hAnsi="Arial" w:cs="Arial"/>
          <w:color w:val="222222"/>
        </w:rPr>
        <w:t>a provision in section 39-26-703(5)(d), C.R.S., regarding protective claims. The term “protective claim” did not previously appear in Colorado sales and use tax statutes and regulations.</w:t>
      </w:r>
      <w:r w:rsidR="00F65325">
        <w:rPr>
          <w:rFonts w:ascii="Arial" w:eastAsia="Arial" w:hAnsi="Arial" w:cs="Arial"/>
          <w:color w:val="222222"/>
        </w:rPr>
        <w:t xml:space="preserve"> </w:t>
      </w:r>
      <w:r w:rsidR="006C4BDA">
        <w:rPr>
          <w:rFonts w:ascii="Arial" w:eastAsia="Arial" w:hAnsi="Arial" w:cs="Arial"/>
          <w:color w:val="222222"/>
        </w:rPr>
        <w:t>D</w:t>
      </w:r>
      <w:r w:rsidR="00F65325">
        <w:rPr>
          <w:rFonts w:ascii="Arial" w:eastAsia="Arial" w:hAnsi="Arial" w:cs="Arial"/>
          <w:color w:val="222222"/>
        </w:rPr>
        <w:t xml:space="preserve">raft </w:t>
      </w:r>
      <w:r w:rsidR="00F65325" w:rsidRPr="002601AB">
        <w:rPr>
          <w:rFonts w:ascii="Arial" w:eastAsia="Arial" w:hAnsi="Arial" w:cs="Arial"/>
          <w:color w:val="222222"/>
        </w:rPr>
        <w:t>Rule 39-26-703–</w:t>
      </w:r>
      <w:r w:rsidR="00F65325">
        <w:rPr>
          <w:rFonts w:ascii="Arial" w:eastAsia="Arial" w:hAnsi="Arial" w:cs="Arial"/>
          <w:color w:val="222222"/>
        </w:rPr>
        <w:t xml:space="preserve">1 and draft </w:t>
      </w:r>
      <w:r w:rsidR="00F65325" w:rsidRPr="002601AB">
        <w:rPr>
          <w:rFonts w:ascii="Arial" w:eastAsia="Arial" w:hAnsi="Arial" w:cs="Arial"/>
          <w:color w:val="222222"/>
        </w:rPr>
        <w:t>Rule 39-26-703–</w:t>
      </w:r>
      <w:r w:rsidR="00F65325">
        <w:rPr>
          <w:rFonts w:ascii="Arial" w:eastAsia="Arial" w:hAnsi="Arial" w:cs="Arial"/>
          <w:color w:val="222222"/>
        </w:rPr>
        <w:t>2(</w:t>
      </w:r>
      <w:r w:rsidR="008B711D">
        <w:rPr>
          <w:rFonts w:ascii="Arial" w:eastAsia="Arial" w:hAnsi="Arial" w:cs="Arial"/>
          <w:color w:val="222222"/>
        </w:rPr>
        <w:t>7</w:t>
      </w:r>
      <w:r w:rsidR="00F65325">
        <w:rPr>
          <w:rFonts w:ascii="Arial" w:eastAsia="Arial" w:hAnsi="Arial" w:cs="Arial"/>
          <w:color w:val="222222"/>
        </w:rPr>
        <w:t xml:space="preserve">) </w:t>
      </w:r>
      <w:proofErr w:type="gramStart"/>
      <w:r w:rsidR="00F65325">
        <w:rPr>
          <w:rFonts w:ascii="Arial" w:eastAsia="Arial" w:hAnsi="Arial" w:cs="Arial"/>
          <w:color w:val="222222"/>
        </w:rPr>
        <w:t>provide</w:t>
      </w:r>
      <w:proofErr w:type="gramEnd"/>
      <w:r w:rsidR="00F65325">
        <w:rPr>
          <w:rFonts w:ascii="Arial" w:eastAsia="Arial" w:hAnsi="Arial" w:cs="Arial"/>
          <w:color w:val="222222"/>
        </w:rPr>
        <w:t xml:space="preserve"> both general guidance relating to protective claims and specific information about requirements relating to protective claims</w:t>
      </w:r>
      <w:r w:rsidR="008B711D">
        <w:rPr>
          <w:rFonts w:ascii="Arial" w:eastAsia="Arial" w:hAnsi="Arial" w:cs="Arial"/>
          <w:color w:val="222222"/>
        </w:rPr>
        <w:t xml:space="preserve"> based on federal guidance and case law and existing Department guidance for protective claims for state income tax.</w:t>
      </w:r>
      <w:r w:rsidR="006C4BDA">
        <w:rPr>
          <w:rFonts w:ascii="Arial" w:eastAsia="Arial" w:hAnsi="Arial" w:cs="Arial"/>
          <w:color w:val="222222"/>
        </w:rPr>
        <w:t xml:space="preserve"> </w:t>
      </w:r>
    </w:p>
    <w:p w14:paraId="69AC0350" w14:textId="2E8D54A2" w:rsidR="006C4BDA" w:rsidRDefault="00A51FF9">
      <w:pPr>
        <w:shd w:val="clear" w:color="auto" w:fill="FFFFFF"/>
        <w:spacing w:before="240" w:after="240"/>
        <w:jc w:val="both"/>
        <w:rPr>
          <w:rFonts w:ascii="Arial" w:eastAsia="Arial" w:hAnsi="Arial" w:cs="Arial"/>
          <w:color w:val="222222"/>
        </w:rPr>
      </w:pPr>
      <w:r>
        <w:rPr>
          <w:rFonts w:ascii="Arial" w:eastAsia="Arial" w:hAnsi="Arial" w:cs="Arial"/>
          <w:color w:val="222222"/>
        </w:rPr>
        <w:t xml:space="preserve">The concept of “protective claims” arises from case law regarding federal income tax. </w:t>
      </w:r>
      <w:r w:rsidR="006C4BDA">
        <w:rPr>
          <w:rFonts w:ascii="Arial" w:eastAsia="Arial" w:hAnsi="Arial" w:cs="Arial"/>
          <w:color w:val="222222"/>
        </w:rPr>
        <w:t xml:space="preserve">The IRS provides a general explanation of protective claims in </w:t>
      </w:r>
      <w:hyperlink r:id="rId10" w:tgtFrame="_blank" w:history="1">
        <w:r w:rsidR="006C4BDA">
          <w:rPr>
            <w:rStyle w:val="Hyperlink"/>
            <w:rFonts w:ascii="Arial" w:hAnsi="Arial" w:cs="Arial"/>
            <w:color w:val="1155CC"/>
            <w:shd w:val="clear" w:color="auto" w:fill="FFFFFF"/>
          </w:rPr>
          <w:t>IRS Chief Counsel Advice 201136021</w:t>
        </w:r>
      </w:hyperlink>
      <w:r w:rsidR="006C4BDA">
        <w:t>:</w:t>
      </w:r>
    </w:p>
    <w:p w14:paraId="4FA8086E" w14:textId="330886EE" w:rsidR="006C4BDA" w:rsidRDefault="006C4BDA" w:rsidP="006C4BDA">
      <w:pPr>
        <w:shd w:val="clear" w:color="auto" w:fill="FFFFFF"/>
        <w:spacing w:before="240" w:after="240"/>
        <w:ind w:left="720"/>
        <w:jc w:val="both"/>
        <w:rPr>
          <w:rFonts w:ascii="Arial" w:eastAsia="Arial" w:hAnsi="Arial" w:cs="Arial"/>
          <w:color w:val="222222"/>
        </w:rPr>
      </w:pPr>
      <w:r>
        <w:rPr>
          <w:rFonts w:ascii="Arial" w:hAnsi="Arial" w:cs="Arial"/>
          <w:color w:val="222222"/>
          <w:shd w:val="clear" w:color="auto" w:fill="FFFFFF"/>
        </w:rPr>
        <w:t>"The concept of a 'protective claim' is not used in the Code or regulations, but is established by case law... A protective claim is a present claim contingent upon a future event; it is a statement that upon the happening of the contingency the claim will be prosecuted... In general, a protective claim is based on an expected change in the tax law, other legislation, regulations, or case law... [A] valid protective claim contains a present claim that the Service may immediately allow or disallow once the contingency is resolved."  </w:t>
      </w:r>
      <w:r>
        <w:rPr>
          <w:rFonts w:ascii="Arial" w:eastAsia="Arial" w:hAnsi="Arial" w:cs="Arial"/>
          <w:color w:val="222222"/>
        </w:rPr>
        <w:t xml:space="preserve"> </w:t>
      </w:r>
    </w:p>
    <w:p w14:paraId="03D247BE" w14:textId="72B2E538" w:rsidR="006C4BDA" w:rsidRPr="006C4BDA" w:rsidRDefault="006C4BDA" w:rsidP="006F0C5B">
      <w:pPr>
        <w:shd w:val="clear" w:color="auto" w:fill="FFFFFF"/>
        <w:spacing w:before="240" w:after="240"/>
        <w:jc w:val="both"/>
        <w:rPr>
          <w:rFonts w:ascii="Arial" w:eastAsia="Arial" w:hAnsi="Arial" w:cs="Arial"/>
          <w:color w:val="222222"/>
        </w:rPr>
      </w:pPr>
      <w:r>
        <w:rPr>
          <w:rFonts w:ascii="Arial" w:eastAsia="Arial" w:hAnsi="Arial" w:cs="Arial"/>
          <w:color w:val="222222"/>
        </w:rPr>
        <w:t xml:space="preserve">In </w:t>
      </w:r>
      <w:hyperlink r:id="rId11" w:tgtFrame="_blank" w:history="1">
        <w:r>
          <w:rPr>
            <w:rStyle w:val="Hyperlink"/>
            <w:rFonts w:ascii="Arial" w:hAnsi="Arial" w:cs="Arial"/>
            <w:color w:val="1155CC"/>
          </w:rPr>
          <w:t>Service Center Advice Memorandum 199941039</w:t>
        </w:r>
      </w:hyperlink>
      <w:r>
        <w:rPr>
          <w:rFonts w:ascii="Arial" w:hAnsi="Arial" w:cs="Arial"/>
          <w:color w:val="222222"/>
        </w:rPr>
        <w:t>, the IRS further explains that “[a]</w:t>
      </w:r>
      <w:r w:rsidRPr="006C4BDA">
        <w:rPr>
          <w:rFonts w:ascii="Arial" w:hAnsi="Arial" w:cs="Arial"/>
          <w:color w:val="222222"/>
        </w:rPr>
        <w:t xml:space="preserve"> claim should not be viewed as a valid protective claim </w:t>
      </w:r>
      <w:r>
        <w:rPr>
          <w:rFonts w:ascii="Arial" w:hAnsi="Arial" w:cs="Arial"/>
          <w:color w:val="222222"/>
        </w:rPr>
        <w:t>…</w:t>
      </w:r>
      <w:r w:rsidRPr="006C4BDA">
        <w:rPr>
          <w:rFonts w:ascii="Arial" w:hAnsi="Arial" w:cs="Arial"/>
          <w:color w:val="222222"/>
        </w:rPr>
        <w:t xml:space="preserve"> merely because the taxpayer labels it as such.</w:t>
      </w:r>
      <w:r>
        <w:rPr>
          <w:rFonts w:ascii="Arial" w:hAnsi="Arial" w:cs="Arial"/>
          <w:color w:val="222222"/>
        </w:rPr>
        <w:t>”</w:t>
      </w:r>
      <w:r w:rsidR="006F0C5B">
        <w:rPr>
          <w:rFonts w:ascii="Arial" w:hAnsi="Arial" w:cs="Arial"/>
          <w:color w:val="222222"/>
        </w:rPr>
        <w:t xml:space="preserve"> </w:t>
      </w:r>
      <w:r>
        <w:rPr>
          <w:rFonts w:ascii="Arial" w:hAnsi="Arial" w:cs="Arial"/>
          <w:color w:val="222222"/>
        </w:rPr>
        <w:t>Furthermore, the designation of a refund claim as a protective claim does not dictate the handling of the claim by the taxing authority. “</w:t>
      </w:r>
      <w:r w:rsidR="006F0C5B" w:rsidRPr="006F0C5B">
        <w:rPr>
          <w:rFonts w:ascii="Arial" w:hAnsi="Arial" w:cs="Arial"/>
          <w:color w:val="222222"/>
        </w:rPr>
        <w:t>The Service has discretion in deciding how to process protective</w:t>
      </w:r>
      <w:r w:rsidR="006F0C5B">
        <w:rPr>
          <w:rFonts w:ascii="Arial" w:hAnsi="Arial" w:cs="Arial"/>
          <w:color w:val="222222"/>
        </w:rPr>
        <w:t xml:space="preserve"> </w:t>
      </w:r>
      <w:r w:rsidR="006F0C5B" w:rsidRPr="006F0C5B">
        <w:rPr>
          <w:rFonts w:ascii="Arial" w:hAnsi="Arial" w:cs="Arial"/>
          <w:color w:val="222222"/>
        </w:rPr>
        <w:t>claims</w:t>
      </w:r>
      <w:r w:rsidR="006F0C5B">
        <w:rPr>
          <w:rFonts w:ascii="Arial" w:hAnsi="Arial" w:cs="Arial"/>
          <w:color w:val="222222"/>
        </w:rPr>
        <w:t>,” the IRS notes.</w:t>
      </w:r>
      <w:r w:rsidR="006F0C5B" w:rsidRPr="006F0C5B">
        <w:rPr>
          <w:rFonts w:ascii="Arial" w:hAnsi="Arial" w:cs="Arial"/>
          <w:color w:val="222222"/>
        </w:rPr>
        <w:t xml:space="preserve"> </w:t>
      </w:r>
      <w:r w:rsidR="006F0C5B">
        <w:rPr>
          <w:rFonts w:ascii="Arial" w:hAnsi="Arial" w:cs="Arial"/>
          <w:color w:val="222222"/>
        </w:rPr>
        <w:t>“</w:t>
      </w:r>
      <w:r w:rsidR="006F0C5B" w:rsidRPr="006F0C5B">
        <w:rPr>
          <w:rFonts w:ascii="Arial" w:hAnsi="Arial" w:cs="Arial"/>
          <w:color w:val="222222"/>
        </w:rPr>
        <w:t>In general, it is in the interests of the Service and taxpayers to delay action on</w:t>
      </w:r>
      <w:r w:rsidR="006F0C5B">
        <w:rPr>
          <w:rFonts w:ascii="Arial" w:hAnsi="Arial" w:cs="Arial"/>
          <w:color w:val="222222"/>
        </w:rPr>
        <w:t xml:space="preserve"> </w:t>
      </w:r>
      <w:r w:rsidR="006F0C5B" w:rsidRPr="006F0C5B">
        <w:rPr>
          <w:rFonts w:ascii="Arial" w:hAnsi="Arial" w:cs="Arial"/>
          <w:color w:val="222222"/>
        </w:rPr>
        <w:t>protective claims until the pending litigation or other contingency is resolved.</w:t>
      </w:r>
      <w:r w:rsidR="006F0C5B">
        <w:rPr>
          <w:rFonts w:ascii="Arial" w:hAnsi="Arial" w:cs="Arial"/>
          <w:color w:val="222222"/>
        </w:rPr>
        <w:t>”</w:t>
      </w:r>
      <w:r w:rsidR="006F0C5B" w:rsidRPr="006F0C5B">
        <w:rPr>
          <w:rFonts w:ascii="Arial" w:hAnsi="Arial" w:cs="Arial"/>
          <w:color w:val="222222"/>
        </w:rPr>
        <w:t xml:space="preserve"> </w:t>
      </w:r>
    </w:p>
    <w:p w14:paraId="2839FC3F" w14:textId="30DE75D1" w:rsidR="007D00DD" w:rsidRDefault="00A51FF9">
      <w:pPr>
        <w:shd w:val="clear" w:color="auto" w:fill="FFFFFF"/>
        <w:spacing w:before="240" w:after="240"/>
        <w:jc w:val="both"/>
        <w:rPr>
          <w:rFonts w:ascii="Arial" w:eastAsia="Arial" w:hAnsi="Arial" w:cs="Arial"/>
          <w:color w:val="222222"/>
        </w:rPr>
      </w:pPr>
      <w:r>
        <w:rPr>
          <w:rFonts w:ascii="Arial" w:eastAsia="Arial" w:hAnsi="Arial" w:cs="Arial"/>
          <w:color w:val="222222"/>
        </w:rPr>
        <w:t xml:space="preserve">Draft </w:t>
      </w:r>
      <w:r w:rsidRPr="002601AB">
        <w:rPr>
          <w:rFonts w:ascii="Arial" w:eastAsia="Arial" w:hAnsi="Arial" w:cs="Arial"/>
          <w:color w:val="222222"/>
        </w:rPr>
        <w:t>Rule 39-26-703–</w:t>
      </w:r>
      <w:r>
        <w:rPr>
          <w:rFonts w:ascii="Arial" w:eastAsia="Arial" w:hAnsi="Arial" w:cs="Arial"/>
          <w:color w:val="222222"/>
        </w:rPr>
        <w:t xml:space="preserve">1 and draft </w:t>
      </w:r>
      <w:r w:rsidRPr="002601AB">
        <w:rPr>
          <w:rFonts w:ascii="Arial" w:eastAsia="Arial" w:hAnsi="Arial" w:cs="Arial"/>
          <w:color w:val="222222"/>
        </w:rPr>
        <w:t>Rule 39-26-703–</w:t>
      </w:r>
      <w:r>
        <w:rPr>
          <w:rFonts w:ascii="Arial" w:eastAsia="Arial" w:hAnsi="Arial" w:cs="Arial"/>
          <w:color w:val="222222"/>
        </w:rPr>
        <w:t>2(</w:t>
      </w:r>
      <w:r w:rsidR="008B711D">
        <w:rPr>
          <w:rFonts w:ascii="Arial" w:eastAsia="Arial" w:hAnsi="Arial" w:cs="Arial"/>
          <w:color w:val="222222"/>
        </w:rPr>
        <w:t>7</w:t>
      </w:r>
      <w:r>
        <w:rPr>
          <w:rFonts w:ascii="Arial" w:eastAsia="Arial" w:hAnsi="Arial" w:cs="Arial"/>
          <w:color w:val="222222"/>
        </w:rPr>
        <w:t xml:space="preserve">) </w:t>
      </w:r>
      <w:proofErr w:type="gramStart"/>
      <w:r>
        <w:rPr>
          <w:rFonts w:ascii="Arial" w:eastAsia="Arial" w:hAnsi="Arial" w:cs="Arial"/>
          <w:color w:val="222222"/>
        </w:rPr>
        <w:t>reflect</w:t>
      </w:r>
      <w:proofErr w:type="gramEnd"/>
      <w:r>
        <w:rPr>
          <w:rFonts w:ascii="Arial" w:eastAsia="Arial" w:hAnsi="Arial" w:cs="Arial"/>
          <w:color w:val="222222"/>
        </w:rPr>
        <w:t xml:space="preserve"> the principles established in case law regarding protective claims and are consistent with guidance issued by the IRS</w:t>
      </w:r>
      <w:r w:rsidR="008B711D">
        <w:rPr>
          <w:rFonts w:ascii="Arial" w:eastAsia="Arial" w:hAnsi="Arial" w:cs="Arial"/>
          <w:color w:val="222222"/>
        </w:rPr>
        <w:t xml:space="preserve"> and the Department for protective claims for income tax refunds</w:t>
      </w:r>
      <w:r>
        <w:rPr>
          <w:rFonts w:ascii="Arial" w:eastAsia="Arial" w:hAnsi="Arial" w:cs="Arial"/>
          <w:color w:val="222222"/>
        </w:rPr>
        <w:t xml:space="preserve">. The draft rules provide guidance regarding protective claims for Colorado sales and use tax refunds, consistent with section 39-26-703(5)(d), C.R.S.  </w:t>
      </w:r>
      <w:r w:rsidR="002601AB">
        <w:rPr>
          <w:rFonts w:ascii="Arial" w:eastAsia="Arial" w:hAnsi="Arial" w:cs="Arial"/>
          <w:color w:val="222222"/>
        </w:rPr>
        <w:t xml:space="preserve"> </w:t>
      </w:r>
    </w:p>
    <w:sectPr w:rsidR="007D00DD">
      <w:headerReference w:type="default" r:id="rId12"/>
      <w:headerReference w:type="first" r:id="rId13"/>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7C2A" w14:textId="77777777" w:rsidR="00F261EC" w:rsidRDefault="00F261EC">
      <w:r>
        <w:separator/>
      </w:r>
    </w:p>
  </w:endnote>
  <w:endnote w:type="continuationSeparator" w:id="0">
    <w:p w14:paraId="504A938E" w14:textId="77777777" w:rsidR="00F261EC" w:rsidRDefault="00F2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D9FC" w14:textId="77777777" w:rsidR="00F261EC" w:rsidRDefault="00F261EC">
      <w:r>
        <w:separator/>
      </w:r>
    </w:p>
  </w:footnote>
  <w:footnote w:type="continuationSeparator" w:id="0">
    <w:p w14:paraId="38A38AF8" w14:textId="77777777" w:rsidR="00F261EC" w:rsidRDefault="00F2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7447" w14:textId="77777777" w:rsidR="008C2B40" w:rsidRDefault="008C2B40">
    <w:pPr>
      <w:pBdr>
        <w:top w:val="nil"/>
        <w:left w:val="nil"/>
        <w:bottom w:val="nil"/>
        <w:right w:val="nil"/>
        <w:between w:val="nil"/>
      </w:pBdr>
      <w:tabs>
        <w:tab w:val="center" w:pos="4680"/>
        <w:tab w:val="right" w:pos="9360"/>
      </w:tabs>
      <w:rPr>
        <w:rFonts w:ascii="Arial" w:eastAsia="Arial" w:hAnsi="Arial" w:cs="Arial"/>
        <w:color w:val="000000"/>
      </w:rPr>
    </w:pPr>
  </w:p>
  <w:p w14:paraId="0DCD8889" w14:textId="77777777" w:rsidR="008C2B40" w:rsidRDefault="008C2B40">
    <w:pPr>
      <w:pBdr>
        <w:top w:val="nil"/>
        <w:left w:val="nil"/>
        <w:bottom w:val="nil"/>
        <w:right w:val="nil"/>
        <w:between w:val="nil"/>
      </w:pBdr>
      <w:tabs>
        <w:tab w:val="center" w:pos="4680"/>
        <w:tab w:val="right" w:pos="9360"/>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7DB2" w14:textId="77777777" w:rsidR="008C2B40" w:rsidRDefault="00664231">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E4B68EE" wp14:editId="3E054F13">
          <wp:simplePos x="0" y="0"/>
          <wp:positionH relativeFrom="column">
            <wp:posOffset>40788</wp:posOffset>
          </wp:positionH>
          <wp:positionV relativeFrom="paragraph">
            <wp:posOffset>0</wp:posOffset>
          </wp:positionV>
          <wp:extent cx="2564130" cy="488950"/>
          <wp:effectExtent l="0" t="0" r="0" b="0"/>
          <wp:wrapNone/>
          <wp:docPr id="7" name="image1.png" descr="co_dor_div_tax_rgb_ltrhd"/>
          <wp:cNvGraphicFramePr/>
          <a:graphic xmlns:a="http://schemas.openxmlformats.org/drawingml/2006/main">
            <a:graphicData uri="http://schemas.openxmlformats.org/drawingml/2006/picture">
              <pic:pic xmlns:pic="http://schemas.openxmlformats.org/drawingml/2006/picture">
                <pic:nvPicPr>
                  <pic:cNvPr id="0" name="image1.png" descr="co_dor_div_tax_rgb_ltrhd"/>
                  <pic:cNvPicPr preferRelativeResize="0"/>
                </pic:nvPicPr>
                <pic:blipFill>
                  <a:blip r:embed="rId1"/>
                  <a:srcRect/>
                  <a:stretch>
                    <a:fillRect/>
                  </a:stretch>
                </pic:blipFill>
                <pic:spPr>
                  <a:xfrm>
                    <a:off x="0" y="0"/>
                    <a:ext cx="2564130" cy="488950"/>
                  </a:xfrm>
                  <a:prstGeom prst="rect">
                    <a:avLst/>
                  </a:prstGeom>
                  <a:ln/>
                </pic:spPr>
              </pic:pic>
            </a:graphicData>
          </a:graphic>
        </wp:anchor>
      </w:drawing>
    </w:r>
  </w:p>
  <w:p w14:paraId="4120FFD6" w14:textId="77777777" w:rsidR="008C2B40" w:rsidRDefault="008C2B40">
    <w:pPr>
      <w:pBdr>
        <w:top w:val="nil"/>
        <w:left w:val="nil"/>
        <w:bottom w:val="nil"/>
        <w:right w:val="nil"/>
        <w:between w:val="nil"/>
      </w:pBdr>
      <w:tabs>
        <w:tab w:val="center" w:pos="4680"/>
        <w:tab w:val="right" w:pos="9360"/>
      </w:tabs>
      <w:rPr>
        <w:color w:val="000000"/>
      </w:rPr>
    </w:pPr>
  </w:p>
  <w:p w14:paraId="2A039D6B" w14:textId="77777777" w:rsidR="008C2B40" w:rsidRDefault="008C2B40">
    <w:pPr>
      <w:pBdr>
        <w:top w:val="nil"/>
        <w:left w:val="nil"/>
        <w:bottom w:val="nil"/>
        <w:right w:val="nil"/>
        <w:between w:val="nil"/>
      </w:pBdr>
      <w:tabs>
        <w:tab w:val="center" w:pos="4680"/>
        <w:tab w:val="right" w:pos="9360"/>
      </w:tabs>
      <w:rPr>
        <w:color w:val="000000"/>
      </w:rPr>
    </w:pPr>
  </w:p>
  <w:p w14:paraId="67BAE231" w14:textId="77777777" w:rsidR="008C2B40" w:rsidRDefault="00664231">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9264" behindDoc="0" locked="0" layoutInCell="1" hidden="0" allowOverlap="1" wp14:anchorId="6CB752DB" wp14:editId="4FF29C49">
              <wp:simplePos x="0" y="0"/>
              <wp:positionH relativeFrom="column">
                <wp:posOffset>1155700</wp:posOffset>
              </wp:positionH>
              <wp:positionV relativeFrom="paragraph">
                <wp:posOffset>50800</wp:posOffset>
              </wp:positionV>
              <wp:extent cx="1718310" cy="689610"/>
              <wp:effectExtent l="0" t="0" r="0" b="0"/>
              <wp:wrapNone/>
              <wp:docPr id="6" name="Rectangle 6"/>
              <wp:cNvGraphicFramePr/>
              <a:graphic xmlns:a="http://schemas.openxmlformats.org/drawingml/2006/main">
                <a:graphicData uri="http://schemas.microsoft.com/office/word/2010/wordprocessingShape">
                  <wps:wsp>
                    <wps:cNvSpPr/>
                    <wps:spPr>
                      <a:xfrm>
                        <a:off x="4491608" y="3439958"/>
                        <a:ext cx="1708785" cy="680085"/>
                      </a:xfrm>
                      <a:prstGeom prst="rect">
                        <a:avLst/>
                      </a:prstGeom>
                      <a:noFill/>
                      <a:ln>
                        <a:noFill/>
                      </a:ln>
                    </wps:spPr>
                    <wps:txbx>
                      <w:txbxContent>
                        <w:p w14:paraId="296278C2" w14:textId="77777777" w:rsidR="008C2B40" w:rsidRDefault="00664231">
                          <w:pPr>
                            <w:spacing w:line="200" w:lineRule="auto"/>
                            <w:ind w:left="90" w:firstLine="90"/>
                            <w:textDirection w:val="btLr"/>
                          </w:pPr>
                          <w:r>
                            <w:rPr>
                              <w:rFonts w:ascii="Trebuchet MS" w:eastAsia="Trebuchet MS" w:hAnsi="Trebuchet MS" w:cs="Trebuchet MS"/>
                              <w:color w:val="000000"/>
                              <w:sz w:val="16"/>
                            </w:rPr>
                            <w:t xml:space="preserve">Office of Tax Policy </w:t>
                          </w:r>
                        </w:p>
                        <w:p w14:paraId="41BF74F5" w14:textId="77777777" w:rsidR="008C2B40" w:rsidRDefault="00664231">
                          <w:pPr>
                            <w:spacing w:line="200" w:lineRule="auto"/>
                            <w:ind w:left="90" w:firstLine="90"/>
                            <w:textDirection w:val="btLr"/>
                          </w:pPr>
                          <w:r>
                            <w:rPr>
                              <w:rFonts w:ascii="Trebuchet MS" w:eastAsia="Trebuchet MS" w:hAnsi="Trebuchet MS" w:cs="Trebuchet MS"/>
                              <w:color w:val="000000"/>
                              <w:sz w:val="16"/>
                            </w:rPr>
                            <w:t>P.O. Box 17087</w:t>
                          </w:r>
                        </w:p>
                        <w:p w14:paraId="68F6A39B" w14:textId="77777777" w:rsidR="008C2B40" w:rsidRDefault="00664231">
                          <w:pPr>
                            <w:spacing w:line="200" w:lineRule="auto"/>
                            <w:ind w:left="90" w:firstLine="90"/>
                            <w:textDirection w:val="btLr"/>
                          </w:pPr>
                          <w:r>
                            <w:rPr>
                              <w:rFonts w:ascii="Trebuchet MS" w:eastAsia="Trebuchet MS" w:hAnsi="Trebuchet MS" w:cs="Trebuchet MS"/>
                              <w:color w:val="000000"/>
                              <w:sz w:val="16"/>
                            </w:rPr>
                            <w:t>Denver, CO 80217-0087</w:t>
                          </w:r>
                        </w:p>
                        <w:p w14:paraId="58EF71E2" w14:textId="77777777" w:rsidR="008C2B40" w:rsidRDefault="008C2B40">
                          <w:pPr>
                            <w:spacing w:line="200" w:lineRule="auto"/>
                            <w:ind w:left="90"/>
                            <w:textDirection w:val="btLr"/>
                          </w:pPr>
                        </w:p>
                        <w:p w14:paraId="74F0DF9D" w14:textId="77777777" w:rsidR="008C2B40" w:rsidRDefault="00664231">
                          <w:pPr>
                            <w:spacing w:line="200" w:lineRule="auto"/>
                            <w:ind w:left="90"/>
                            <w:textDirection w:val="btLr"/>
                          </w:pPr>
                          <w:r>
                            <w:rPr>
                              <w:rFonts w:ascii="Trebuchet MS" w:eastAsia="Trebuchet MS" w:hAnsi="Trebuchet MS" w:cs="Trebuchet MS"/>
                              <w:color w:val="000000"/>
                              <w:sz w:val="16"/>
                            </w:rPr>
                            <w:t>dor_taxpolicy@state.co.us</w:t>
                          </w:r>
                        </w:p>
                        <w:p w14:paraId="57BF752E" w14:textId="77777777" w:rsidR="008C2B40" w:rsidRDefault="008C2B40">
                          <w:pPr>
                            <w:ind w:left="90"/>
                            <w:textDirection w:val="btLr"/>
                          </w:pPr>
                        </w:p>
                      </w:txbxContent>
                    </wps:txbx>
                    <wps:bodyPr spcFirstLastPara="1" wrap="square" lIns="0" tIns="118850" rIns="0" bIns="0" anchor="t" anchorCtr="0">
                      <a:noAutofit/>
                    </wps:bodyPr>
                  </wps:wsp>
                </a:graphicData>
              </a:graphic>
            </wp:anchor>
          </w:drawing>
        </mc:Choice>
        <mc:Fallback>
          <w:pict>
            <v:rect w14:anchorId="6CB752DB" id="Rectangle 6" o:spid="_x0000_s1026" style="position:absolute;margin-left:91pt;margin-top:4pt;width:135.3pt;height:5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" filled="f" stroked="f">
              <v:textbox inset="0,3.30139mm,0,0">
                <w:txbxContent>
                  <w:p w14:paraId="296278C2" w14:textId="77777777" w:rsidR="008C2B40" w:rsidRDefault="00664231">
                    <w:pPr>
                      <w:spacing w:line="200" w:lineRule="auto"/>
                      <w:ind w:left="90" w:firstLine="90"/>
                      <w:textDirection w:val="btLr"/>
                    </w:pPr>
                    <w:r>
                      <w:rPr>
                        <w:rFonts w:ascii="Trebuchet MS" w:eastAsia="Trebuchet MS" w:hAnsi="Trebuchet MS" w:cs="Trebuchet MS"/>
                        <w:color w:val="000000"/>
                        <w:sz w:val="16"/>
                      </w:rPr>
                      <w:t xml:space="preserve">Office of Tax Policy </w:t>
                    </w:r>
                  </w:p>
                  <w:p w14:paraId="41BF74F5" w14:textId="77777777" w:rsidR="008C2B40" w:rsidRDefault="00664231">
                    <w:pPr>
                      <w:spacing w:line="200" w:lineRule="auto"/>
                      <w:ind w:left="90" w:firstLine="90"/>
                      <w:textDirection w:val="btLr"/>
                    </w:pPr>
                    <w:r>
                      <w:rPr>
                        <w:rFonts w:ascii="Trebuchet MS" w:eastAsia="Trebuchet MS" w:hAnsi="Trebuchet MS" w:cs="Trebuchet MS"/>
                        <w:color w:val="000000"/>
                        <w:sz w:val="16"/>
                      </w:rPr>
                      <w:t>P.O. Box 17087</w:t>
                    </w:r>
                  </w:p>
                  <w:p w14:paraId="68F6A39B" w14:textId="77777777" w:rsidR="008C2B40" w:rsidRDefault="00664231">
                    <w:pPr>
                      <w:spacing w:line="200" w:lineRule="auto"/>
                      <w:ind w:left="90" w:firstLine="90"/>
                      <w:textDirection w:val="btLr"/>
                    </w:pPr>
                    <w:r>
                      <w:rPr>
                        <w:rFonts w:ascii="Trebuchet MS" w:eastAsia="Trebuchet MS" w:hAnsi="Trebuchet MS" w:cs="Trebuchet MS"/>
                        <w:color w:val="000000"/>
                        <w:sz w:val="16"/>
                      </w:rPr>
                      <w:t>Denver, CO 80217-0087</w:t>
                    </w:r>
                  </w:p>
                  <w:p w14:paraId="58EF71E2" w14:textId="77777777" w:rsidR="008C2B40" w:rsidRDefault="008C2B40">
                    <w:pPr>
                      <w:spacing w:line="200" w:lineRule="auto"/>
                      <w:ind w:left="90"/>
                      <w:textDirection w:val="btLr"/>
                    </w:pPr>
                  </w:p>
                  <w:p w14:paraId="74F0DF9D" w14:textId="77777777" w:rsidR="008C2B40" w:rsidRDefault="00664231">
                    <w:pPr>
                      <w:spacing w:line="200" w:lineRule="auto"/>
                      <w:ind w:left="90"/>
                      <w:textDirection w:val="btLr"/>
                    </w:pPr>
                    <w:r>
                      <w:rPr>
                        <w:rFonts w:ascii="Trebuchet MS" w:eastAsia="Trebuchet MS" w:hAnsi="Trebuchet MS" w:cs="Trebuchet MS"/>
                        <w:color w:val="000000"/>
                        <w:sz w:val="16"/>
                      </w:rPr>
                      <w:t>dor_taxpolicy@state.co.us</w:t>
                    </w:r>
                  </w:p>
                  <w:p w14:paraId="57BF752E" w14:textId="77777777" w:rsidR="008C2B40" w:rsidRDefault="008C2B40">
                    <w:pPr>
                      <w:ind w:left="90"/>
                      <w:textDirection w:val="btLr"/>
                    </w:pPr>
                  </w:p>
                </w:txbxContent>
              </v:textbox>
            </v:rect>
          </w:pict>
        </mc:Fallback>
      </mc:AlternateContent>
    </w:r>
  </w:p>
  <w:p w14:paraId="07846738" w14:textId="77777777" w:rsidR="008C2B40" w:rsidRDefault="008C2B40">
    <w:pPr>
      <w:pBdr>
        <w:top w:val="nil"/>
        <w:left w:val="nil"/>
        <w:bottom w:val="nil"/>
        <w:right w:val="nil"/>
        <w:between w:val="nil"/>
      </w:pBdr>
      <w:tabs>
        <w:tab w:val="center" w:pos="4680"/>
        <w:tab w:val="right" w:pos="9360"/>
      </w:tabs>
      <w:rPr>
        <w:color w:val="000000"/>
      </w:rPr>
    </w:pPr>
  </w:p>
  <w:p w14:paraId="7D7874A8" w14:textId="77777777" w:rsidR="008C2B40" w:rsidRDefault="00664231">
    <w:pPr>
      <w:pBdr>
        <w:top w:val="nil"/>
        <w:left w:val="nil"/>
        <w:bottom w:val="nil"/>
        <w:right w:val="nil"/>
        <w:between w:val="nil"/>
      </w:pBdr>
      <w:tabs>
        <w:tab w:val="center" w:pos="4680"/>
        <w:tab w:val="right" w:pos="9360"/>
      </w:tabs>
      <w:rPr>
        <w:color w:val="000000"/>
      </w:rPr>
    </w:pPr>
    <w:r>
      <w:rPr>
        <w:color w:val="000000"/>
      </w:rPr>
      <w:t xml:space="preserve"> </w:t>
    </w:r>
  </w:p>
  <w:p w14:paraId="11203C68" w14:textId="77777777" w:rsidR="008C2B40" w:rsidRDefault="008C2B40">
    <w:pPr>
      <w:pBdr>
        <w:top w:val="nil"/>
        <w:left w:val="nil"/>
        <w:bottom w:val="nil"/>
        <w:right w:val="nil"/>
        <w:between w:val="nil"/>
      </w:pBdr>
      <w:tabs>
        <w:tab w:val="center" w:pos="4680"/>
        <w:tab w:val="right" w:pos="9360"/>
      </w:tabs>
      <w:rPr>
        <w:color w:val="000000"/>
      </w:rPr>
    </w:pPr>
  </w:p>
  <w:p w14:paraId="1CBA2080" w14:textId="77777777" w:rsidR="008C2B40" w:rsidRDefault="008C2B40">
    <w:pPr>
      <w:pBdr>
        <w:top w:val="nil"/>
        <w:left w:val="nil"/>
        <w:bottom w:val="nil"/>
        <w:right w:val="nil"/>
        <w:between w:val="nil"/>
      </w:pBdr>
      <w:tabs>
        <w:tab w:val="center" w:pos="4680"/>
        <w:tab w:val="right" w:pos="9360"/>
      </w:tabs>
      <w:rPr>
        <w:color w:val="000000"/>
      </w:rPr>
    </w:pPr>
  </w:p>
  <w:p w14:paraId="2B7D8340" w14:textId="77777777" w:rsidR="008C2B40" w:rsidRDefault="008C2B4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115D"/>
    <w:multiLevelType w:val="multilevel"/>
    <w:tmpl w:val="A906BB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28F44280"/>
    <w:multiLevelType w:val="multilevel"/>
    <w:tmpl w:val="CE0C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8995416">
    <w:abstractNumId w:val="0"/>
  </w:num>
  <w:num w:numId="2" w16cid:durableId="1867212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B40"/>
    <w:rsid w:val="000139AD"/>
    <w:rsid w:val="00020432"/>
    <w:rsid w:val="00073F56"/>
    <w:rsid w:val="000815DA"/>
    <w:rsid w:val="000A4F9F"/>
    <w:rsid w:val="00124AE2"/>
    <w:rsid w:val="00142263"/>
    <w:rsid w:val="00162946"/>
    <w:rsid w:val="001804AB"/>
    <w:rsid w:val="002601AB"/>
    <w:rsid w:val="002B4FA7"/>
    <w:rsid w:val="002E71E7"/>
    <w:rsid w:val="00324411"/>
    <w:rsid w:val="00361DDC"/>
    <w:rsid w:val="00367871"/>
    <w:rsid w:val="00472919"/>
    <w:rsid w:val="004E7682"/>
    <w:rsid w:val="00557AB4"/>
    <w:rsid w:val="00567D10"/>
    <w:rsid w:val="00583BA7"/>
    <w:rsid w:val="00595227"/>
    <w:rsid w:val="005B3CA6"/>
    <w:rsid w:val="005D2096"/>
    <w:rsid w:val="00664231"/>
    <w:rsid w:val="0066482E"/>
    <w:rsid w:val="00667CEA"/>
    <w:rsid w:val="006C4BDA"/>
    <w:rsid w:val="006F0C5B"/>
    <w:rsid w:val="007776B9"/>
    <w:rsid w:val="00793E20"/>
    <w:rsid w:val="007D00DD"/>
    <w:rsid w:val="008A3ED6"/>
    <w:rsid w:val="008B18D6"/>
    <w:rsid w:val="008B711D"/>
    <w:rsid w:val="008C2B40"/>
    <w:rsid w:val="00912E41"/>
    <w:rsid w:val="00961199"/>
    <w:rsid w:val="00964FE9"/>
    <w:rsid w:val="009650B0"/>
    <w:rsid w:val="00972221"/>
    <w:rsid w:val="009A2595"/>
    <w:rsid w:val="00A51FF9"/>
    <w:rsid w:val="00A86115"/>
    <w:rsid w:val="00A9592C"/>
    <w:rsid w:val="00A96A7F"/>
    <w:rsid w:val="00B25B2D"/>
    <w:rsid w:val="00BD4C0F"/>
    <w:rsid w:val="00C3008E"/>
    <w:rsid w:val="00CB0EBF"/>
    <w:rsid w:val="00D05A8E"/>
    <w:rsid w:val="00D535BA"/>
    <w:rsid w:val="00DA1BD2"/>
    <w:rsid w:val="00DB77A7"/>
    <w:rsid w:val="00E2458C"/>
    <w:rsid w:val="00F261EC"/>
    <w:rsid w:val="00F33A43"/>
    <w:rsid w:val="00F56382"/>
    <w:rsid w:val="00F65325"/>
    <w:rsid w:val="00FF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EF4B"/>
  <w15:docId w15:val="{8E12CE9D-791D-492E-BB64-315B209E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20"/>
  </w:style>
  <w:style w:type="paragraph" w:styleId="Heading1">
    <w:name w:val="heading 1"/>
    <w:basedOn w:val="Normal"/>
    <w:next w:val="Normal"/>
    <w:link w:val="Heading1Char"/>
    <w:uiPriority w:val="9"/>
    <w:qFormat/>
    <w:rsid w:val="00FB7420"/>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B7420"/>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FB7420"/>
    <w:pPr>
      <w:keepNext/>
      <w:spacing w:before="240" w:after="60"/>
      <w:outlineLvl w:val="2"/>
    </w:pPr>
    <w:rPr>
      <w:rFonts w:ascii="Arial" w:eastAsia="Arial" w:hAnsi="Arial" w:cs="Arial"/>
      <w:b/>
      <w:sz w:val="26"/>
      <w:szCs w:val="26"/>
    </w:rPr>
  </w:style>
  <w:style w:type="paragraph" w:styleId="Heading4">
    <w:name w:val="heading 4"/>
    <w:basedOn w:val="Normal"/>
    <w:next w:val="Normal"/>
    <w:link w:val="Heading4Char"/>
    <w:uiPriority w:val="9"/>
    <w:semiHidden/>
    <w:unhideWhenUsed/>
    <w:qFormat/>
    <w:rsid w:val="00FB7420"/>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FB7420"/>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FB742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7420"/>
    <w:pPr>
      <w:keepNext/>
      <w:keepLines/>
      <w:spacing w:before="480" w:after="120"/>
    </w:pPr>
    <w:rPr>
      <w:b/>
      <w:sz w:val="72"/>
      <w:szCs w:val="72"/>
    </w:rPr>
  </w:style>
  <w:style w:type="paragraph" w:styleId="Header">
    <w:name w:val="header"/>
    <w:basedOn w:val="Normal"/>
    <w:link w:val="HeaderChar"/>
    <w:uiPriority w:val="99"/>
    <w:unhideWhenUsed/>
    <w:rsid w:val="00C7728F"/>
    <w:pPr>
      <w:tabs>
        <w:tab w:val="center" w:pos="4680"/>
        <w:tab w:val="right" w:pos="9360"/>
      </w:tabs>
    </w:pPr>
  </w:style>
  <w:style w:type="character" w:customStyle="1" w:styleId="HeaderChar">
    <w:name w:val="Header Char"/>
    <w:basedOn w:val="DefaultParagraphFont"/>
    <w:link w:val="Header"/>
    <w:uiPriority w:val="99"/>
    <w:rsid w:val="00C7728F"/>
  </w:style>
  <w:style w:type="paragraph" w:styleId="Footer">
    <w:name w:val="footer"/>
    <w:basedOn w:val="Normal"/>
    <w:link w:val="FooterChar"/>
    <w:uiPriority w:val="99"/>
    <w:unhideWhenUsed/>
    <w:rsid w:val="00C7728F"/>
    <w:pPr>
      <w:tabs>
        <w:tab w:val="center" w:pos="4680"/>
        <w:tab w:val="right" w:pos="9360"/>
      </w:tabs>
    </w:pPr>
  </w:style>
  <w:style w:type="character" w:customStyle="1" w:styleId="FooterChar">
    <w:name w:val="Footer Char"/>
    <w:basedOn w:val="DefaultParagraphFont"/>
    <w:link w:val="Footer"/>
    <w:uiPriority w:val="99"/>
    <w:rsid w:val="00C7728F"/>
  </w:style>
  <w:style w:type="paragraph" w:customStyle="1" w:styleId="returnaddress">
    <w:name w:val="return address"/>
    <w:basedOn w:val="Header"/>
    <w:link w:val="returnaddressChar"/>
    <w:qFormat/>
    <w:rsid w:val="00C7728F"/>
    <w:pPr>
      <w:tabs>
        <w:tab w:val="clear" w:pos="4680"/>
        <w:tab w:val="clear" w:pos="9360"/>
        <w:tab w:val="center" w:pos="4320"/>
        <w:tab w:val="right" w:pos="8640"/>
      </w:tabs>
      <w:spacing w:line="200" w:lineRule="exact"/>
    </w:pPr>
    <w:rPr>
      <w:rFonts w:ascii="Trebuchet MS" w:eastAsia="MS Mincho" w:hAnsi="Trebuchet MS"/>
      <w:color w:val="595959"/>
      <w:sz w:val="16"/>
      <w:szCs w:val="24"/>
    </w:rPr>
  </w:style>
  <w:style w:type="character" w:customStyle="1" w:styleId="returnaddressChar">
    <w:name w:val="return address Char"/>
    <w:link w:val="returnaddress"/>
    <w:rsid w:val="00C7728F"/>
    <w:rPr>
      <w:rFonts w:ascii="Trebuchet MS" w:eastAsia="MS Mincho" w:hAnsi="Trebuchet MS" w:cs="Times New Roman"/>
      <w:color w:val="595959"/>
      <w:sz w:val="16"/>
      <w:szCs w:val="24"/>
    </w:rPr>
  </w:style>
  <w:style w:type="character" w:styleId="Hyperlink">
    <w:name w:val="Hyperlink"/>
    <w:basedOn w:val="DefaultParagraphFont"/>
    <w:uiPriority w:val="99"/>
    <w:unhideWhenUsed/>
    <w:rsid w:val="00FB7420"/>
    <w:rPr>
      <w:color w:val="0000FF" w:themeColor="hyperlink"/>
      <w:u w:val="single"/>
    </w:rPr>
  </w:style>
  <w:style w:type="paragraph" w:styleId="FootnoteText">
    <w:name w:val="footnote text"/>
    <w:basedOn w:val="Normal"/>
    <w:link w:val="FootnoteTextChar"/>
    <w:semiHidden/>
    <w:unhideWhenUsed/>
    <w:rsid w:val="00D51B2C"/>
  </w:style>
  <w:style w:type="character" w:customStyle="1" w:styleId="FootnoteTextChar">
    <w:name w:val="Footnote Text Char"/>
    <w:basedOn w:val="DefaultParagraphFont"/>
    <w:link w:val="FootnoteText"/>
    <w:uiPriority w:val="99"/>
    <w:semiHidden/>
    <w:rsid w:val="00D51B2C"/>
    <w:rPr>
      <w:rFonts w:ascii="Times New Roman" w:hAnsi="Times New Roman"/>
      <w:sz w:val="20"/>
      <w:szCs w:val="20"/>
    </w:rPr>
  </w:style>
  <w:style w:type="paragraph" w:styleId="BodyText2">
    <w:name w:val="Body Text 2"/>
    <w:basedOn w:val="Normal"/>
    <w:link w:val="BodyText2Char"/>
    <w:rsid w:val="00E52CC4"/>
    <w:rPr>
      <w:sz w:val="24"/>
    </w:rPr>
  </w:style>
  <w:style w:type="character" w:customStyle="1" w:styleId="BodyText2Char">
    <w:name w:val="Body Text 2 Char"/>
    <w:basedOn w:val="DefaultParagraphFont"/>
    <w:link w:val="BodyText2"/>
    <w:rsid w:val="00E52CC4"/>
    <w:rPr>
      <w:rFonts w:ascii="Times New Roman" w:eastAsia="Times New Roman" w:hAnsi="Times New Roman" w:cs="Times New Roman"/>
      <w:sz w:val="24"/>
      <w:szCs w:val="20"/>
    </w:rPr>
  </w:style>
  <w:style w:type="character" w:styleId="FootnoteReference">
    <w:name w:val="footnote reference"/>
    <w:basedOn w:val="DefaultParagraphFont"/>
    <w:semiHidden/>
    <w:rsid w:val="00F63854"/>
    <w:rPr>
      <w:vertAlign w:val="superscript"/>
    </w:rPr>
  </w:style>
  <w:style w:type="paragraph" w:styleId="BodyText">
    <w:name w:val="Body Text"/>
    <w:basedOn w:val="Normal"/>
    <w:link w:val="BodyTextChar"/>
    <w:rsid w:val="00F63854"/>
    <w:pPr>
      <w:spacing w:after="120"/>
    </w:pPr>
  </w:style>
  <w:style w:type="character" w:customStyle="1" w:styleId="BodyTextChar">
    <w:name w:val="Body Text Char"/>
    <w:basedOn w:val="DefaultParagraphFont"/>
    <w:link w:val="BodyText"/>
    <w:rsid w:val="00F638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7420"/>
    <w:rPr>
      <w:rFonts w:ascii="Tahoma" w:hAnsi="Tahoma" w:cs="Tahoma"/>
      <w:sz w:val="16"/>
      <w:szCs w:val="16"/>
    </w:rPr>
  </w:style>
  <w:style w:type="character" w:customStyle="1" w:styleId="BalloonTextChar">
    <w:name w:val="Balloon Text Char"/>
    <w:basedOn w:val="DefaultParagraphFont"/>
    <w:link w:val="BalloonText"/>
    <w:uiPriority w:val="99"/>
    <w:semiHidden/>
    <w:rsid w:val="003348DF"/>
    <w:rPr>
      <w:rFonts w:ascii="Tahoma" w:eastAsia="Times New Roman" w:hAnsi="Tahoma" w:cs="Tahoma"/>
      <w:sz w:val="16"/>
      <w:szCs w:val="16"/>
    </w:rPr>
  </w:style>
  <w:style w:type="character" w:styleId="Strong">
    <w:name w:val="Strong"/>
    <w:basedOn w:val="DefaultParagraphFont"/>
    <w:qFormat/>
    <w:rsid w:val="005C02F3"/>
    <w:rPr>
      <w:b/>
      <w:bCs/>
    </w:rPr>
  </w:style>
  <w:style w:type="paragraph" w:styleId="ListParagraph">
    <w:name w:val="List Paragraph"/>
    <w:basedOn w:val="Normal"/>
    <w:uiPriority w:val="34"/>
    <w:qFormat/>
    <w:rsid w:val="002067AB"/>
    <w:pPr>
      <w:ind w:left="720"/>
      <w:contextualSpacing/>
    </w:pPr>
    <w:rPr>
      <w:sz w:val="24"/>
      <w:szCs w:val="24"/>
    </w:rPr>
  </w:style>
  <w:style w:type="character" w:styleId="CommentReference">
    <w:name w:val="annotation reference"/>
    <w:basedOn w:val="DefaultParagraphFont"/>
    <w:unhideWhenUsed/>
    <w:rsid w:val="002067AB"/>
    <w:rPr>
      <w:sz w:val="16"/>
      <w:szCs w:val="16"/>
    </w:rPr>
  </w:style>
  <w:style w:type="paragraph" w:styleId="CommentText">
    <w:name w:val="annotation text"/>
    <w:basedOn w:val="Normal"/>
    <w:link w:val="CommentTextChar"/>
    <w:unhideWhenUsed/>
    <w:rsid w:val="002067AB"/>
  </w:style>
  <w:style w:type="character" w:customStyle="1" w:styleId="CommentTextChar">
    <w:name w:val="Comment Text Char"/>
    <w:basedOn w:val="DefaultParagraphFont"/>
    <w:link w:val="CommentText"/>
    <w:rsid w:val="002067AB"/>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FB7420"/>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FB7420"/>
    <w:rPr>
      <w:rFonts w:ascii="Times New Roman" w:eastAsia="Times New Roman" w:hAnsi="Times New Roman" w:cs="Times New Roman"/>
      <w:b/>
      <w:sz w:val="36"/>
      <w:szCs w:val="36"/>
    </w:rPr>
  </w:style>
  <w:style w:type="character" w:customStyle="1" w:styleId="Heading3Char">
    <w:name w:val="Heading 3 Char"/>
    <w:basedOn w:val="DefaultParagraphFont"/>
    <w:link w:val="Heading3"/>
    <w:rsid w:val="00FB7420"/>
    <w:rPr>
      <w:rFonts w:ascii="Arial" w:eastAsia="Arial" w:hAnsi="Arial" w:cs="Arial"/>
      <w:b/>
      <w:sz w:val="26"/>
      <w:szCs w:val="26"/>
    </w:rPr>
  </w:style>
  <w:style w:type="character" w:customStyle="1" w:styleId="Heading4Char">
    <w:name w:val="Heading 4 Char"/>
    <w:basedOn w:val="DefaultParagraphFont"/>
    <w:link w:val="Heading4"/>
    <w:rsid w:val="00FB7420"/>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FB7420"/>
    <w:rPr>
      <w:rFonts w:ascii="Times New Roman" w:eastAsia="Times New Roman" w:hAnsi="Times New Roman" w:cs="Times New Roman"/>
      <w:b/>
    </w:rPr>
  </w:style>
  <w:style w:type="character" w:customStyle="1" w:styleId="Heading6Char">
    <w:name w:val="Heading 6 Char"/>
    <w:basedOn w:val="DefaultParagraphFont"/>
    <w:link w:val="Heading6"/>
    <w:rsid w:val="00FB7420"/>
    <w:rPr>
      <w:rFonts w:ascii="Times New Roman" w:eastAsia="Times New Roman" w:hAnsi="Times New Roman" w:cs="Times New Roman"/>
      <w:b/>
      <w:sz w:val="20"/>
      <w:szCs w:val="20"/>
    </w:rPr>
  </w:style>
  <w:style w:type="character" w:customStyle="1" w:styleId="TitleChar">
    <w:name w:val="Title Char"/>
    <w:basedOn w:val="DefaultParagraphFont"/>
    <w:link w:val="Title"/>
    <w:rsid w:val="00FB7420"/>
    <w:rPr>
      <w:rFonts w:ascii="Times New Roman" w:eastAsia="Times New Roman" w:hAnsi="Times New Roman" w:cs="Times New Roman"/>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B7420"/>
    <w:rPr>
      <w:rFonts w:ascii="Georgia" w:eastAsia="Georgia" w:hAnsi="Georgia" w:cs="Georgia"/>
      <w:i/>
      <w:color w:val="666666"/>
      <w:sz w:val="48"/>
      <w:szCs w:val="48"/>
    </w:rPr>
  </w:style>
  <w:style w:type="paragraph" w:customStyle="1" w:styleId="m9016856476027692197m-8604325058657021762msolistparagraph">
    <w:name w:val="m_9016856476027692197m_-8604325058657021762msolistparagraph"/>
    <w:basedOn w:val="Normal"/>
    <w:rsid w:val="00FB7420"/>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FB7420"/>
    <w:rPr>
      <w:b/>
      <w:bCs/>
    </w:rPr>
  </w:style>
  <w:style w:type="character" w:customStyle="1" w:styleId="CommentSubjectChar">
    <w:name w:val="Comment Subject Char"/>
    <w:basedOn w:val="CommentTextChar"/>
    <w:link w:val="CommentSubject"/>
    <w:uiPriority w:val="99"/>
    <w:semiHidden/>
    <w:rsid w:val="00FB7420"/>
    <w:rPr>
      <w:rFonts w:ascii="Times New Roman" w:eastAsia="Times New Roman" w:hAnsi="Times New Roman" w:cs="Times New Roman"/>
      <w:b/>
      <w:bCs/>
      <w:sz w:val="20"/>
      <w:szCs w:val="20"/>
    </w:rPr>
  </w:style>
  <w:style w:type="paragraph" w:styleId="Revision">
    <w:name w:val="Revision"/>
    <w:hidden/>
    <w:uiPriority w:val="99"/>
    <w:semiHidden/>
    <w:rsid w:val="00FB7420"/>
  </w:style>
  <w:style w:type="character" w:styleId="FollowedHyperlink">
    <w:name w:val="FollowedHyperlink"/>
    <w:basedOn w:val="DefaultParagraphFont"/>
    <w:uiPriority w:val="99"/>
    <w:semiHidden/>
    <w:unhideWhenUsed/>
    <w:rsid w:val="000636F4"/>
    <w:rPr>
      <w:color w:val="800080" w:themeColor="followedHyperlink"/>
      <w:u w:val="single"/>
    </w:rPr>
  </w:style>
  <w:style w:type="character" w:styleId="UnresolvedMention">
    <w:name w:val="Unresolved Mention"/>
    <w:basedOn w:val="DefaultParagraphFont"/>
    <w:uiPriority w:val="99"/>
    <w:semiHidden/>
    <w:unhideWhenUsed/>
    <w:rsid w:val="00AC02C3"/>
    <w:rPr>
      <w:color w:val="605E5C"/>
      <w:shd w:val="clear" w:color="auto" w:fill="E1DFDD"/>
    </w:rPr>
  </w:style>
  <w:style w:type="paragraph" w:customStyle="1" w:styleId="par1">
    <w:name w:val="par1"/>
    <w:basedOn w:val="Normal"/>
    <w:link w:val="par1Char"/>
    <w:rsid w:val="00A86115"/>
    <w:pPr>
      <w:tabs>
        <w:tab w:val="left" w:pos="720"/>
        <w:tab w:val="left" w:pos="1440"/>
        <w:tab w:val="left" w:pos="2160"/>
      </w:tabs>
      <w:spacing w:before="240"/>
      <w:ind w:left="720" w:hanging="720"/>
    </w:pPr>
    <w:rPr>
      <w:rFonts w:ascii="Arial" w:hAnsi="Arial"/>
      <w:szCs w:val="24"/>
    </w:rPr>
  </w:style>
  <w:style w:type="paragraph" w:customStyle="1" w:styleId="par2">
    <w:name w:val="par2"/>
    <w:basedOn w:val="par1"/>
    <w:rsid w:val="00A86115"/>
    <w:pPr>
      <w:ind w:left="1440"/>
    </w:pPr>
  </w:style>
  <w:style w:type="paragraph" w:customStyle="1" w:styleId="par3">
    <w:name w:val="par3"/>
    <w:basedOn w:val="par1"/>
    <w:link w:val="par3Char"/>
    <w:rsid w:val="00A86115"/>
    <w:pPr>
      <w:ind w:left="2160"/>
    </w:pPr>
  </w:style>
  <w:style w:type="character" w:customStyle="1" w:styleId="par1Char">
    <w:name w:val="par1 Char"/>
    <w:link w:val="par1"/>
    <w:locked/>
    <w:rsid w:val="00A86115"/>
    <w:rPr>
      <w:rFonts w:ascii="Arial" w:hAnsi="Arial"/>
      <w:szCs w:val="24"/>
    </w:rPr>
  </w:style>
  <w:style w:type="character" w:customStyle="1" w:styleId="par3Char">
    <w:name w:val="par3 Char"/>
    <w:link w:val="par3"/>
    <w:locked/>
    <w:rsid w:val="00A86115"/>
    <w:rPr>
      <w:rFonts w:ascii="Arial" w:hAnsi="Arial"/>
      <w:szCs w:val="24"/>
    </w:rPr>
  </w:style>
  <w:style w:type="table" w:styleId="TableGrid">
    <w:name w:val="Table Grid"/>
    <w:basedOn w:val="TableNormal"/>
    <w:uiPriority w:val="39"/>
    <w:rsid w:val="00E24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84225">
      <w:bodyDiv w:val="1"/>
      <w:marLeft w:val="0"/>
      <w:marRight w:val="0"/>
      <w:marTop w:val="0"/>
      <w:marBottom w:val="0"/>
      <w:divBdr>
        <w:top w:val="none" w:sz="0" w:space="0" w:color="auto"/>
        <w:left w:val="none" w:sz="0" w:space="0" w:color="auto"/>
        <w:bottom w:val="none" w:sz="0" w:space="0" w:color="auto"/>
        <w:right w:val="none" w:sz="0" w:space="0" w:color="auto"/>
      </w:divBdr>
    </w:div>
    <w:div w:id="1589920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s.gov/pub/irs-sca/994103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rs.gov/pub/irs-wd/1136021.pdf" TargetMode="External"/><Relationship Id="rId4" Type="http://schemas.openxmlformats.org/officeDocument/2006/relationships/styles" Target="styles.xml"/><Relationship Id="rId9" Type="http://schemas.openxmlformats.org/officeDocument/2006/relationships/hyperlink" Target="https://leg.colorado.gov/bills/hb22-111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C7tSWVZMCj0Vay1W42+4vjLyFQ==">AMUW2mVuiOfpAnlSfxBe0vffqCtrjN4Xqzu39rhOeJPDz+m8LE7RT4f/Y/QFBDrHZHciuVR370u6IQvv8S0aDiAi6ajnAiHi7UYwYxQGhlPJNOYp0pqap/A=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C099FC-0E4C-4554-9B53-B8244E0F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REV</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Schade, Ken</dc:creator>
  <cp:lastModifiedBy>Schade, Ken</cp:lastModifiedBy>
  <cp:revision>30</cp:revision>
  <dcterms:created xsi:type="dcterms:W3CDTF">2023-03-21T17:02:00Z</dcterms:created>
  <dcterms:modified xsi:type="dcterms:W3CDTF">2023-07-12T15:30:00Z</dcterms:modified>
</cp:coreProperties>
</file>